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both"/>
        <w:rPr>
          <w:rFonts w:ascii="仿宋_GB2312" w:eastAsia="仿宋_GB2312"/>
          <w:b/>
          <w:color w:val="auto"/>
          <w:sz w:val="28"/>
          <w:szCs w:val="28"/>
        </w:rPr>
      </w:pPr>
      <w:bookmarkStart w:id="0" w:name="_GoBack"/>
      <w:bookmarkEnd w:id="0"/>
      <w:r>
        <w:rPr>
          <w:rFonts w:hint="eastAsia" w:ascii="黑体" w:hAnsi="黑体" w:eastAsia="黑体" w:cs="宋体"/>
          <w:color w:val="auto"/>
          <w:sz w:val="32"/>
          <w:szCs w:val="32"/>
        </w:rPr>
        <w:t>BF——2022——</w:t>
      </w:r>
      <w:r>
        <w:rPr>
          <w:rFonts w:hint="eastAsia" w:ascii="黑体" w:hAnsi="黑体" w:eastAsia="黑体" w:cs="宋体"/>
          <w:color w:val="auto"/>
          <w:sz w:val="32"/>
          <w:szCs w:val="32"/>
          <w:lang w:val="en-US" w:eastAsia="zh-CN"/>
        </w:rPr>
        <w:t>0145</w:t>
      </w:r>
      <w:r>
        <w:rPr>
          <w:rFonts w:hint="eastAsia" w:ascii="黑体" w:hAnsi="黑体" w:eastAsia="黑体" w:cs="宋体"/>
          <w:color w:val="auto"/>
          <w:sz w:val="32"/>
          <w:szCs w:val="32"/>
        </w:rPr>
        <w:t xml:space="preserve">             </w:t>
      </w:r>
      <w:r>
        <w:rPr>
          <w:rFonts w:hint="eastAsia" w:ascii="仿宋_GB2312" w:eastAsia="仿宋_GB2312"/>
          <w:b/>
          <w:color w:val="auto"/>
          <w:sz w:val="28"/>
          <w:szCs w:val="28"/>
        </w:rPr>
        <w:t>合同编号：</w:t>
      </w:r>
    </w:p>
    <w:p>
      <w:pPr>
        <w:spacing w:line="288" w:lineRule="auto"/>
        <w:jc w:val="center"/>
        <w:rPr>
          <w:rFonts w:ascii="仿宋_GB2312" w:eastAsia="仿宋_GB2312"/>
          <w:b/>
          <w:color w:val="auto"/>
          <w:sz w:val="28"/>
          <w:szCs w:val="28"/>
        </w:rPr>
      </w:pPr>
    </w:p>
    <w:p>
      <w:pPr>
        <w:spacing w:line="288" w:lineRule="auto"/>
        <w:jc w:val="center"/>
        <w:rPr>
          <w:rFonts w:ascii="仿宋_GB2312" w:eastAsia="仿宋_GB2312"/>
          <w:b/>
          <w:color w:val="auto"/>
          <w:sz w:val="28"/>
          <w:szCs w:val="28"/>
        </w:rPr>
      </w:pPr>
    </w:p>
    <w:p>
      <w:pPr>
        <w:spacing w:line="288" w:lineRule="auto"/>
        <w:jc w:val="center"/>
        <w:rPr>
          <w:rFonts w:ascii="仿宋_GB2312" w:eastAsia="仿宋_GB2312"/>
          <w:b/>
          <w:color w:val="auto"/>
          <w:sz w:val="28"/>
          <w:szCs w:val="28"/>
        </w:rPr>
      </w:pPr>
    </w:p>
    <w:p>
      <w:pPr>
        <w:spacing w:line="288" w:lineRule="auto"/>
        <w:jc w:val="center"/>
        <w:rPr>
          <w:rFonts w:ascii="仿宋_GB2312" w:eastAsia="仿宋_GB2312"/>
          <w:b/>
          <w:color w:val="auto"/>
          <w:sz w:val="28"/>
          <w:szCs w:val="28"/>
        </w:rPr>
      </w:pPr>
    </w:p>
    <w:p>
      <w:pPr>
        <w:spacing w:line="288" w:lineRule="auto"/>
        <w:jc w:val="center"/>
        <w:rPr>
          <w:rFonts w:ascii="仿宋_GB2312" w:eastAsia="仿宋_GB2312"/>
          <w:b/>
          <w:color w:val="auto"/>
          <w:sz w:val="28"/>
          <w:szCs w:val="28"/>
        </w:rPr>
      </w:pPr>
    </w:p>
    <w:p>
      <w:pPr>
        <w:spacing w:line="288" w:lineRule="auto"/>
        <w:jc w:val="center"/>
        <w:rPr>
          <w:rFonts w:hint="eastAsia" w:ascii="仿宋_GB2312" w:eastAsia="仿宋_GB2312"/>
          <w:b/>
          <w:bCs/>
          <w:color w:val="auto"/>
          <w:sz w:val="44"/>
          <w:szCs w:val="44"/>
          <w:lang w:eastAsia="zh-CN"/>
        </w:rPr>
      </w:pPr>
      <w:r>
        <w:rPr>
          <w:rFonts w:hint="eastAsia" w:ascii="仿宋_GB2312" w:eastAsia="仿宋_GB2312"/>
          <w:b/>
          <w:bCs/>
          <w:color w:val="auto"/>
          <w:sz w:val="44"/>
          <w:szCs w:val="44"/>
        </w:rPr>
        <w:t>北京市</w:t>
      </w:r>
      <w:r>
        <w:rPr>
          <w:rFonts w:hint="eastAsia" w:ascii="仿宋_GB2312" w:hAnsi="宋体" w:eastAsia="仿宋_GB2312"/>
          <w:b/>
          <w:bCs/>
          <w:color w:val="auto"/>
          <w:sz w:val="44"/>
          <w:szCs w:val="44"/>
        </w:rPr>
        <w:t>预拌混凝土矿物掺合料</w:t>
      </w:r>
      <w:r>
        <w:rPr>
          <w:rFonts w:hint="eastAsia" w:ascii="仿宋_GB2312" w:eastAsia="仿宋_GB2312"/>
          <w:b/>
          <w:bCs/>
          <w:color w:val="auto"/>
          <w:sz w:val="44"/>
          <w:szCs w:val="44"/>
        </w:rPr>
        <w:t>采购合同</w:t>
      </w:r>
    </w:p>
    <w:p>
      <w:pPr>
        <w:spacing w:line="288" w:lineRule="auto"/>
        <w:rPr>
          <w:rFonts w:ascii="仿宋_GB2312" w:eastAsia="仿宋_GB2312"/>
          <w:b/>
          <w:color w:val="auto"/>
          <w:sz w:val="28"/>
          <w:szCs w:val="28"/>
        </w:rPr>
      </w:pPr>
    </w:p>
    <w:p>
      <w:pPr>
        <w:spacing w:line="288" w:lineRule="auto"/>
        <w:rPr>
          <w:rFonts w:ascii="仿宋_GB2312" w:eastAsia="仿宋_GB2312"/>
          <w:color w:val="auto"/>
          <w:sz w:val="28"/>
          <w:szCs w:val="28"/>
        </w:rPr>
      </w:pPr>
    </w:p>
    <w:p>
      <w:pPr>
        <w:spacing w:line="288" w:lineRule="auto"/>
        <w:rPr>
          <w:rFonts w:ascii="仿宋_GB2312" w:eastAsia="仿宋_GB2312"/>
          <w:color w:val="auto"/>
          <w:sz w:val="28"/>
          <w:szCs w:val="28"/>
        </w:rPr>
      </w:pPr>
    </w:p>
    <w:p>
      <w:pPr>
        <w:spacing w:line="288" w:lineRule="auto"/>
        <w:rPr>
          <w:rFonts w:ascii="仿宋_GB2312" w:eastAsia="仿宋_GB2312"/>
          <w:color w:val="auto"/>
          <w:sz w:val="28"/>
          <w:szCs w:val="28"/>
        </w:rPr>
      </w:pPr>
    </w:p>
    <w:p>
      <w:pPr>
        <w:spacing w:line="288" w:lineRule="auto"/>
        <w:ind w:firstLine="960" w:firstLineChars="300"/>
        <w:rPr>
          <w:rFonts w:hint="default" w:ascii="仿宋_GB2312" w:eastAsia="仿宋_GB2312"/>
          <w:color w:val="auto"/>
          <w:sz w:val="32"/>
          <w:szCs w:val="32"/>
          <w:u w:val="single"/>
          <w:lang w:val="en-US" w:eastAsia="zh-CN"/>
        </w:rPr>
      </w:pPr>
      <w:r>
        <w:rPr>
          <w:rFonts w:hint="eastAsia" w:ascii="仿宋_GB2312" w:eastAsia="仿宋_GB2312"/>
          <w:color w:val="auto"/>
          <w:sz w:val="32"/>
          <w:szCs w:val="32"/>
        </w:rPr>
        <w:t>买方（甲方）：</w:t>
      </w:r>
      <w:r>
        <w:rPr>
          <w:rFonts w:hint="eastAsia" w:ascii="仿宋_GB2312" w:eastAsia="仿宋_GB2312"/>
          <w:color w:val="auto"/>
          <w:sz w:val="32"/>
          <w:szCs w:val="32"/>
          <w:u w:val="single"/>
          <w:lang w:val="en-US" w:eastAsia="zh-CN"/>
        </w:rPr>
        <w:t xml:space="preserve">                             </w:t>
      </w:r>
    </w:p>
    <w:p>
      <w:pPr>
        <w:spacing w:line="288" w:lineRule="auto"/>
        <w:ind w:firstLine="800" w:firstLineChars="250"/>
        <w:rPr>
          <w:rFonts w:ascii="仿宋_GB2312" w:eastAsia="仿宋_GB2312"/>
          <w:color w:val="auto"/>
          <w:sz w:val="32"/>
          <w:szCs w:val="32"/>
        </w:rPr>
      </w:pPr>
    </w:p>
    <w:p>
      <w:pPr>
        <w:spacing w:line="288" w:lineRule="auto"/>
        <w:ind w:firstLine="960" w:firstLineChars="300"/>
        <w:rPr>
          <w:rFonts w:hint="default" w:ascii="仿宋_GB2312" w:hAnsi="宋体" w:eastAsia="仿宋_GB2312"/>
          <w:color w:val="auto"/>
          <w:sz w:val="32"/>
          <w:szCs w:val="32"/>
          <w:u w:val="single"/>
          <w:lang w:val="en-US" w:eastAsia="zh-CN"/>
        </w:rPr>
      </w:pPr>
      <w:r>
        <w:rPr>
          <w:rFonts w:hint="eastAsia" w:ascii="仿宋_GB2312" w:eastAsia="仿宋_GB2312"/>
          <w:color w:val="auto"/>
          <w:sz w:val="32"/>
          <w:szCs w:val="32"/>
        </w:rPr>
        <w:t>卖方（乙方）：</w:t>
      </w:r>
      <w:r>
        <w:rPr>
          <w:rFonts w:hint="eastAsia" w:ascii="仿宋_GB2312" w:eastAsia="仿宋_GB2312"/>
          <w:color w:val="auto"/>
          <w:sz w:val="32"/>
          <w:szCs w:val="32"/>
          <w:u w:val="single"/>
          <w:lang w:val="en-US" w:eastAsia="zh-CN"/>
        </w:rPr>
        <w:t xml:space="preserve">                             </w:t>
      </w:r>
    </w:p>
    <w:p>
      <w:pPr>
        <w:spacing w:line="288" w:lineRule="auto"/>
        <w:rPr>
          <w:rFonts w:ascii="仿宋_GB2312" w:eastAsia="仿宋_GB2312"/>
          <w:color w:val="auto"/>
          <w:sz w:val="28"/>
          <w:szCs w:val="28"/>
        </w:rPr>
      </w:pPr>
    </w:p>
    <w:p>
      <w:pPr>
        <w:spacing w:line="288" w:lineRule="auto"/>
        <w:rPr>
          <w:rFonts w:ascii="仿宋_GB2312" w:eastAsia="仿宋_GB2312"/>
          <w:color w:val="auto"/>
          <w:sz w:val="28"/>
          <w:szCs w:val="28"/>
        </w:rPr>
      </w:pPr>
    </w:p>
    <w:p>
      <w:pPr>
        <w:spacing w:line="288" w:lineRule="auto"/>
        <w:rPr>
          <w:rFonts w:ascii="仿宋_GB2312" w:eastAsia="仿宋_GB2312"/>
          <w:color w:val="auto"/>
          <w:sz w:val="28"/>
          <w:szCs w:val="28"/>
        </w:rPr>
      </w:pPr>
    </w:p>
    <w:p>
      <w:pPr>
        <w:spacing w:line="288" w:lineRule="auto"/>
        <w:ind w:right="1069" w:rightChars="509"/>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w:t>
      </w: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北京市住房和城乡建设委员会</w:t>
      </w:r>
    </w:p>
    <w:p>
      <w:pPr>
        <w:spacing w:line="288" w:lineRule="auto"/>
        <w:ind w:right="1069" w:rightChars="509"/>
        <w:jc w:val="center"/>
        <w:rPr>
          <w:rFonts w:ascii="仿宋_GB2312" w:eastAsia="仿宋_GB2312"/>
          <w:b/>
          <w:color w:val="auto"/>
          <w:sz w:val="28"/>
          <w:szCs w:val="28"/>
          <w:highlight w:val="none"/>
        </w:rPr>
      </w:pPr>
      <w:r>
        <w:rPr>
          <w:rFonts w:ascii="仿宋_GB2312" w:eastAsia="仿宋_GB2312"/>
          <w:b/>
          <w:color w:val="auto"/>
          <w:sz w:val="28"/>
          <w:szCs w:val="28"/>
          <w:highlight w:val="none"/>
        </w:rPr>
        <w:t xml:space="preserve">      </w:t>
      </w:r>
      <w:r>
        <w:rPr>
          <w:rFonts w:hint="eastAsia" w:ascii="仿宋_GB2312" w:eastAsia="仿宋_GB2312"/>
          <w:b/>
          <w:color w:val="auto"/>
          <w:sz w:val="28"/>
          <w:szCs w:val="28"/>
          <w:highlight w:val="none"/>
        </w:rPr>
        <w:t>北京市市场监督管理局</w:t>
      </w:r>
    </w:p>
    <w:p>
      <w:pPr>
        <w:spacing w:line="288"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202</w:t>
      </w:r>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9</w:t>
      </w:r>
      <w:r>
        <w:rPr>
          <w:rFonts w:hint="eastAsia" w:ascii="宋体" w:hAnsi="宋体" w:cs="宋体"/>
          <w:b/>
          <w:color w:val="auto"/>
          <w:sz w:val="28"/>
          <w:szCs w:val="28"/>
          <w:highlight w:val="none"/>
        </w:rPr>
        <w:t>月</w:t>
      </w:r>
    </w:p>
    <w:p>
      <w:pPr>
        <w:spacing w:line="288" w:lineRule="auto"/>
        <w:rPr>
          <w:rFonts w:ascii="宋体" w:hAnsi="宋体" w:cs="宋体"/>
          <w:b/>
          <w:color w:val="auto"/>
          <w:sz w:val="44"/>
          <w:szCs w:val="44"/>
        </w:rPr>
      </w:pPr>
      <w:r>
        <w:rPr>
          <w:rFonts w:ascii="仿宋_GB2312" w:hAnsi="仿宋_GB2312" w:eastAsia="仿宋_GB2312" w:cs="仿宋_GB2312"/>
          <w:color w:val="auto"/>
          <w:sz w:val="28"/>
          <w:szCs w:val="28"/>
        </w:rPr>
        <w:br w:type="page"/>
      </w:r>
    </w:p>
    <w:p>
      <w:pPr>
        <w:spacing w:line="288" w:lineRule="auto"/>
        <w:jc w:val="center"/>
        <w:rPr>
          <w:rFonts w:hint="eastAsia" w:ascii="宋体" w:hAnsi="宋体" w:cs="宋体"/>
          <w:b/>
          <w:color w:val="auto"/>
          <w:sz w:val="36"/>
          <w:szCs w:val="36"/>
        </w:rPr>
      </w:pPr>
      <w:r>
        <w:rPr>
          <w:rFonts w:hint="eastAsia" w:ascii="宋体" w:hAnsi="宋体" w:cs="宋体"/>
          <w:b/>
          <w:color w:val="auto"/>
          <w:sz w:val="36"/>
          <w:szCs w:val="36"/>
        </w:rPr>
        <w:t>北京市预拌混凝土矿物掺合料采购合同</w:t>
      </w:r>
    </w:p>
    <w:p>
      <w:pPr>
        <w:spacing w:line="288" w:lineRule="auto"/>
        <w:ind w:firstLine="400" w:firstLineChars="200"/>
        <w:rPr>
          <w:rFonts w:hint="eastAsia" w:ascii="华文楷体" w:hAnsi="华文楷体" w:eastAsia="华文楷体" w:cs="华文楷体"/>
          <w:color w:val="auto"/>
          <w:sz w:val="20"/>
          <w:szCs w:val="20"/>
        </w:rPr>
      </w:pPr>
    </w:p>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买方（甲方）：</w:t>
      </w:r>
      <w:r>
        <w:rPr>
          <w:rFonts w:ascii="仿宋_GB2312" w:eastAsia="仿宋_GB2312"/>
          <w:color w:val="auto"/>
          <w:sz w:val="24"/>
          <w:szCs w:val="24"/>
          <w:highlight w:val="none"/>
          <w:u w:val="single"/>
        </w:rPr>
        <w:t xml:space="preserve">                                 </w:t>
      </w:r>
    </w:p>
    <w:p>
      <w:pPr>
        <w:spacing w:line="288" w:lineRule="auto"/>
        <w:ind w:firstLine="400" w:firstLineChars="200"/>
        <w:rPr>
          <w:rFonts w:ascii="仿宋_GB2312" w:eastAsia="仿宋_GB2312"/>
          <w:color w:val="auto"/>
          <w:sz w:val="24"/>
          <w:szCs w:val="24"/>
          <w:highlight w:val="none"/>
          <w:u w:val="single"/>
        </w:rPr>
      </w:pPr>
      <w:r>
        <w:rPr>
          <w:rFonts w:hint="eastAsia" w:ascii="华文楷体" w:hAnsi="华文楷体" w:eastAsia="华文楷体" w:cs="华文楷体"/>
          <w:color w:val="auto"/>
          <w:sz w:val="20"/>
          <w:szCs w:val="20"/>
        </w:rPr>
        <w:t>卖方（乙方）：</w:t>
      </w:r>
      <w:r>
        <w:rPr>
          <w:rFonts w:ascii="仿宋_GB2312" w:eastAsia="仿宋_GB2312"/>
          <w:color w:val="auto"/>
          <w:sz w:val="24"/>
          <w:szCs w:val="24"/>
          <w:highlight w:val="none"/>
          <w:u w:val="single"/>
        </w:rPr>
        <w:t xml:space="preserve">                                 </w:t>
      </w:r>
    </w:p>
    <w:p>
      <w:pPr>
        <w:spacing w:line="288" w:lineRule="auto"/>
        <w:ind w:firstLine="480" w:firstLineChars="200"/>
        <w:rPr>
          <w:rFonts w:ascii="仿宋_GB2312" w:eastAsia="仿宋_GB2312"/>
          <w:color w:val="auto"/>
          <w:sz w:val="24"/>
          <w:szCs w:val="24"/>
          <w:highlight w:val="none"/>
          <w:u w:val="single"/>
        </w:rPr>
      </w:pPr>
    </w:p>
    <w:p>
      <w:pPr>
        <w:spacing w:line="288" w:lineRule="auto"/>
        <w:ind w:firstLine="400" w:firstLineChars="2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依照《中华人民共和国民法典》《中华人民共和国建筑法》等相关法律法规的规定，甲乙双方在自愿、平等、公平、诚实信用的基础上，就甲方向乙方采购预拌混凝土矿物掺合料（以下简称为矿物掺合料）事宜，经双方协商一致，订立本合同。</w:t>
      </w:r>
    </w:p>
    <w:p>
      <w:pPr>
        <w:pStyle w:val="29"/>
        <w:widowControl w:val="0"/>
        <w:numPr>
          <w:ilvl w:val="0"/>
          <w:numId w:val="1"/>
        </w:numPr>
        <w:spacing w:line="288" w:lineRule="auto"/>
        <w:ind w:firstLineChars="0"/>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基本情况</w:t>
      </w:r>
    </w:p>
    <w:p>
      <w:pPr>
        <w:pStyle w:val="29"/>
        <w:widowControl w:val="0"/>
        <w:numPr>
          <w:ilvl w:val="0"/>
          <w:numId w:val="0"/>
        </w:numPr>
        <w:spacing w:line="288" w:lineRule="auto"/>
        <w:ind w:firstLine="400" w:firstLineChars="200"/>
        <w:rPr>
          <w:rFonts w:ascii="华文楷体" w:hAnsi="华文楷体" w:eastAsia="华文楷体" w:cs="华文楷体"/>
          <w:color w:val="auto"/>
          <w:sz w:val="24"/>
          <w:szCs w:val="24"/>
        </w:rPr>
      </w:pPr>
      <w:r>
        <w:rPr>
          <w:rFonts w:hint="eastAsia" w:ascii="华文楷体" w:hAnsi="华文楷体" w:eastAsia="华文楷体" w:cs="华文楷体"/>
          <w:color w:val="auto"/>
          <w:sz w:val="20"/>
          <w:szCs w:val="20"/>
        </w:rPr>
        <w:t>1.1矿物掺合料及其数量、价格</w:t>
      </w:r>
    </w:p>
    <w:tbl>
      <w:tblPr>
        <w:tblStyle w:val="12"/>
        <w:tblW w:w="9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608"/>
        <w:gridCol w:w="695"/>
        <w:gridCol w:w="675"/>
        <w:gridCol w:w="1194"/>
        <w:gridCol w:w="958"/>
        <w:gridCol w:w="1035"/>
        <w:gridCol w:w="954"/>
        <w:gridCol w:w="968"/>
        <w:gridCol w:w="793"/>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9" w:hRule="atLeast"/>
          <w:jc w:val="center"/>
        </w:trPr>
        <w:tc>
          <w:tcPr>
            <w:tcW w:w="662"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序号</w:t>
            </w:r>
          </w:p>
        </w:tc>
        <w:tc>
          <w:tcPr>
            <w:tcW w:w="608"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名称</w:t>
            </w:r>
          </w:p>
        </w:tc>
        <w:tc>
          <w:tcPr>
            <w:tcW w:w="695"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规格型号</w:t>
            </w:r>
          </w:p>
        </w:tc>
        <w:tc>
          <w:tcPr>
            <w:tcW w:w="675" w:type="dxa"/>
            <w:noWrap w:val="0"/>
            <w:vAlign w:val="center"/>
          </w:tcPr>
          <w:p>
            <w:pPr>
              <w:tabs>
                <w:tab w:val="left" w:pos="417"/>
              </w:tabs>
              <w:spacing w:line="288" w:lineRule="auto"/>
              <w:jc w:val="left"/>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生产厂家</w:t>
            </w:r>
          </w:p>
        </w:tc>
        <w:tc>
          <w:tcPr>
            <w:tcW w:w="1194"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执行标准</w:t>
            </w:r>
          </w:p>
        </w:tc>
        <w:tc>
          <w:tcPr>
            <w:tcW w:w="958"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数量（吨）</w:t>
            </w:r>
          </w:p>
        </w:tc>
        <w:tc>
          <w:tcPr>
            <w:tcW w:w="1035"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不含税单价（元/吨）</w:t>
            </w:r>
          </w:p>
        </w:tc>
        <w:tc>
          <w:tcPr>
            <w:tcW w:w="954"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含税单价</w:t>
            </w:r>
          </w:p>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（元/吨）</w:t>
            </w:r>
          </w:p>
        </w:tc>
        <w:tc>
          <w:tcPr>
            <w:tcW w:w="968"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不含税总价（元）</w:t>
            </w:r>
          </w:p>
        </w:tc>
        <w:tc>
          <w:tcPr>
            <w:tcW w:w="793"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总税额（元）</w:t>
            </w:r>
          </w:p>
        </w:tc>
        <w:tc>
          <w:tcPr>
            <w:tcW w:w="995" w:type="dxa"/>
            <w:noWrap w:val="0"/>
            <w:vAlign w:val="center"/>
          </w:tcPr>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含税总价</w:t>
            </w:r>
          </w:p>
          <w:p>
            <w:pPr>
              <w:spacing w:line="288" w:lineRule="auto"/>
              <w:jc w:val="center"/>
              <w:rPr>
                <w:rFonts w:ascii="华文楷体" w:hAnsi="华文楷体" w:eastAsia="华文楷体" w:cs="华文仿宋"/>
                <w:b/>
                <w:color w:val="auto"/>
                <w:sz w:val="18"/>
                <w:szCs w:val="18"/>
              </w:rPr>
            </w:pPr>
            <w:r>
              <w:rPr>
                <w:rFonts w:hint="eastAsia" w:ascii="华文楷体" w:hAnsi="华文楷体" w:eastAsia="华文楷体" w:cs="华文仿宋"/>
                <w:b/>
                <w:color w:val="auto"/>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 w:hRule="atLeast"/>
          <w:jc w:val="center"/>
        </w:trPr>
        <w:tc>
          <w:tcPr>
            <w:tcW w:w="662" w:type="dxa"/>
            <w:noWrap w:val="0"/>
            <w:vAlign w:val="center"/>
          </w:tcPr>
          <w:p>
            <w:pPr>
              <w:spacing w:line="288" w:lineRule="auto"/>
              <w:jc w:val="center"/>
              <w:rPr>
                <w:rFonts w:ascii="华文楷体" w:hAnsi="华文楷体" w:eastAsia="华文楷体" w:cs="华文楷体"/>
                <w:b/>
                <w:bCs/>
                <w:color w:val="auto"/>
                <w:sz w:val="20"/>
                <w:szCs w:val="20"/>
              </w:rPr>
            </w:pPr>
          </w:p>
        </w:tc>
        <w:tc>
          <w:tcPr>
            <w:tcW w:w="608" w:type="dxa"/>
            <w:noWrap w:val="0"/>
            <w:vAlign w:val="center"/>
          </w:tcPr>
          <w:p>
            <w:pPr>
              <w:spacing w:line="288" w:lineRule="auto"/>
              <w:jc w:val="center"/>
              <w:rPr>
                <w:rFonts w:ascii="华文楷体" w:hAnsi="华文楷体" w:eastAsia="华文楷体" w:cs="华文楷体"/>
                <w:b/>
                <w:bCs/>
                <w:color w:val="auto"/>
                <w:sz w:val="20"/>
                <w:szCs w:val="20"/>
              </w:rPr>
            </w:pPr>
          </w:p>
        </w:tc>
        <w:tc>
          <w:tcPr>
            <w:tcW w:w="69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67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1194"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58"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103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54"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68"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793"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9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662" w:type="dxa"/>
            <w:noWrap w:val="0"/>
            <w:vAlign w:val="center"/>
          </w:tcPr>
          <w:p>
            <w:pPr>
              <w:spacing w:line="288" w:lineRule="auto"/>
              <w:jc w:val="center"/>
              <w:rPr>
                <w:rFonts w:ascii="华文楷体" w:hAnsi="华文楷体" w:eastAsia="华文楷体" w:cs="华文楷体"/>
                <w:b/>
                <w:bCs/>
                <w:color w:val="auto"/>
                <w:sz w:val="20"/>
                <w:szCs w:val="20"/>
              </w:rPr>
            </w:pPr>
          </w:p>
        </w:tc>
        <w:tc>
          <w:tcPr>
            <w:tcW w:w="608" w:type="dxa"/>
            <w:noWrap w:val="0"/>
            <w:vAlign w:val="center"/>
          </w:tcPr>
          <w:p>
            <w:pPr>
              <w:spacing w:line="288" w:lineRule="auto"/>
              <w:jc w:val="center"/>
              <w:rPr>
                <w:rFonts w:ascii="华文楷体" w:hAnsi="华文楷体" w:eastAsia="华文楷体" w:cs="华文楷体"/>
                <w:b/>
                <w:bCs/>
                <w:color w:val="auto"/>
                <w:sz w:val="20"/>
                <w:szCs w:val="20"/>
              </w:rPr>
            </w:pPr>
          </w:p>
        </w:tc>
        <w:tc>
          <w:tcPr>
            <w:tcW w:w="69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67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1194"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58"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103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54"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68"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793"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9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662" w:type="dxa"/>
            <w:noWrap w:val="0"/>
            <w:vAlign w:val="center"/>
          </w:tcPr>
          <w:p>
            <w:pPr>
              <w:spacing w:line="288" w:lineRule="auto"/>
              <w:jc w:val="center"/>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合计</w:t>
            </w:r>
          </w:p>
        </w:tc>
        <w:tc>
          <w:tcPr>
            <w:tcW w:w="608" w:type="dxa"/>
            <w:noWrap w:val="0"/>
            <w:vAlign w:val="center"/>
          </w:tcPr>
          <w:p>
            <w:pPr>
              <w:spacing w:line="288" w:lineRule="auto"/>
              <w:jc w:val="center"/>
              <w:rPr>
                <w:rFonts w:ascii="华文楷体" w:hAnsi="华文楷体" w:eastAsia="华文楷体" w:cs="华文楷体"/>
                <w:b/>
                <w:bCs/>
                <w:color w:val="auto"/>
                <w:sz w:val="20"/>
                <w:szCs w:val="20"/>
              </w:rPr>
            </w:pPr>
          </w:p>
        </w:tc>
        <w:tc>
          <w:tcPr>
            <w:tcW w:w="69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67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1194"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58"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103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54"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68"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793"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c>
          <w:tcPr>
            <w:tcW w:w="995" w:type="dxa"/>
            <w:noWrap w:val="0"/>
            <w:vAlign w:val="center"/>
          </w:tcPr>
          <w:p>
            <w:pPr>
              <w:spacing w:line="288" w:lineRule="auto"/>
              <w:ind w:firstLine="401" w:firstLineChars="200"/>
              <w:jc w:val="center"/>
              <w:rPr>
                <w:rFonts w:ascii="华文楷体" w:hAnsi="华文楷体" w:eastAsia="华文楷体" w:cs="华文楷体"/>
                <w:b/>
                <w:bCs/>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jc w:val="center"/>
        </w:trPr>
        <w:tc>
          <w:tcPr>
            <w:tcW w:w="9537" w:type="dxa"/>
            <w:gridSpan w:val="11"/>
            <w:noWrap w:val="0"/>
            <w:vAlign w:val="center"/>
          </w:tcPr>
          <w:p>
            <w:pPr>
              <w:spacing w:line="288" w:lineRule="auto"/>
              <w:rPr>
                <w:rFonts w:ascii="华文楷体" w:hAnsi="华文楷体" w:eastAsia="华文楷体" w:cs="华文仿宋"/>
                <w:b/>
                <w:color w:val="auto"/>
                <w:sz w:val="24"/>
              </w:rPr>
            </w:pPr>
            <w:r>
              <w:rPr>
                <w:rFonts w:hint="eastAsia" w:ascii="华文楷体" w:hAnsi="华文楷体" w:eastAsia="华文楷体" w:cs="华文仿宋"/>
                <w:b/>
                <w:color w:val="auto"/>
                <w:sz w:val="18"/>
                <w:szCs w:val="18"/>
              </w:rPr>
              <w:t>合计含税总价人民币大写：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jc w:val="center"/>
        </w:trPr>
        <w:tc>
          <w:tcPr>
            <w:tcW w:w="9537" w:type="dxa"/>
            <w:gridSpan w:val="11"/>
            <w:noWrap w:val="0"/>
            <w:vAlign w:val="center"/>
          </w:tcPr>
          <w:p>
            <w:pPr>
              <w:spacing w:line="288" w:lineRule="auto"/>
              <w:rPr>
                <w:rFonts w:ascii="华文楷体" w:hAnsi="华文楷体" w:eastAsia="华文楷体" w:cs="华文仿宋"/>
                <w:b/>
                <w:color w:val="auto"/>
                <w:sz w:val="24"/>
              </w:rPr>
            </w:pPr>
            <w:r>
              <w:rPr>
                <w:rFonts w:hint="eastAsia" w:ascii="华文楷体" w:hAnsi="华文楷体" w:eastAsia="华文楷体" w:cs="华文仿宋"/>
                <w:b/>
                <w:color w:val="auto"/>
                <w:sz w:val="18"/>
                <w:szCs w:val="18"/>
              </w:rPr>
              <w:t>备注：本合同数量为暂估数量，双方按乙方实际供货量对账结算支付货款。</w:t>
            </w:r>
          </w:p>
        </w:tc>
      </w:tr>
    </w:tbl>
    <w:p>
      <w:pPr>
        <w:spacing w:line="264" w:lineRule="auto"/>
        <w:ind w:firstLine="400" w:firstLineChars="200"/>
        <w:rPr>
          <w:rFonts w:hint="eastAsia" w:ascii="华文楷体" w:hAnsi="华文楷体" w:eastAsia="华文楷体" w:cs="华文楷体"/>
          <w:color w:val="auto"/>
          <w:sz w:val="20"/>
          <w:szCs w:val="20"/>
          <w:lang w:eastAsia="zh-CN"/>
        </w:rPr>
      </w:pPr>
      <w:r>
        <w:rPr>
          <w:rFonts w:hint="eastAsia" w:ascii="华文楷体" w:hAnsi="华文楷体" w:eastAsia="华文楷体" w:cs="华文楷体"/>
          <w:color w:val="auto"/>
          <w:sz w:val="20"/>
          <w:szCs w:val="20"/>
        </w:rPr>
        <w:t>1.2</w:t>
      </w:r>
      <w:r>
        <w:rPr>
          <w:rFonts w:hint="eastAsia" w:ascii="华文楷体" w:hAnsi="华文楷体" w:eastAsia="华文楷体" w:cs="华文楷体"/>
          <w:color w:val="auto"/>
          <w:sz w:val="20"/>
          <w:szCs w:val="20"/>
          <w:lang w:eastAsia="zh-CN"/>
        </w:rPr>
        <w:t>其他约定</w:t>
      </w:r>
    </w:p>
    <w:p>
      <w:pPr>
        <w:spacing w:line="264" w:lineRule="auto"/>
        <w:ind w:firstLine="400" w:firstLineChars="200"/>
        <w:jc w:val="left"/>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1.2.1</w:t>
      </w:r>
      <w:r>
        <w:rPr>
          <w:rFonts w:hint="eastAsia" w:ascii="华文楷体" w:hAnsi="华文楷体" w:eastAsia="华文楷体" w:cs="华文楷体"/>
          <w:color w:val="auto"/>
          <w:sz w:val="20"/>
          <w:szCs w:val="20"/>
          <w:lang w:eastAsia="zh-CN"/>
        </w:rPr>
        <w:t>甲方支付的</w:t>
      </w:r>
      <w:r>
        <w:rPr>
          <w:rFonts w:hint="eastAsia" w:ascii="华文楷体" w:hAnsi="华文楷体" w:eastAsia="华文楷体" w:cs="华文楷体"/>
          <w:color w:val="auto"/>
          <w:sz w:val="20"/>
          <w:szCs w:val="20"/>
        </w:rPr>
        <w:t>矿物掺合料价款：甲方签收确认矿物掺合料前所发生的费用，包括□材料费</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□运费</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□装卸费</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□出库费</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□运输保险费</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□企业管理费</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□利润</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□税金</w:t>
      </w:r>
      <w:r>
        <w:rPr>
          <w:rFonts w:hint="eastAsia" w:ascii="华文楷体" w:hAnsi="华文楷体" w:eastAsia="华文楷体" w:cs="华文楷体"/>
          <w:color w:val="auto"/>
          <w:sz w:val="20"/>
          <w:szCs w:val="20"/>
          <w:lang w:val="en-US" w:eastAsia="zh-CN"/>
        </w:rPr>
        <w:t xml:space="preserve">  </w:t>
      </w:r>
      <w:r>
        <w:rPr>
          <w:rFonts w:hint="eastAsia" w:ascii="华文楷体" w:hAnsi="华文楷体" w:eastAsia="华文楷体" w:cs="华文楷体"/>
          <w:color w:val="auto"/>
          <w:sz w:val="20"/>
          <w:szCs w:val="20"/>
        </w:rPr>
        <w:t>□其他：</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rPr>
        <w:t>。</w:t>
      </w:r>
    </w:p>
    <w:p>
      <w:pPr>
        <w:spacing w:line="264" w:lineRule="auto"/>
        <w:ind w:firstLine="400" w:firstLineChars="200"/>
        <w:jc w:val="left"/>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1.2.2本合同签订后如矿物掺合料</w:t>
      </w:r>
      <w:r>
        <w:rPr>
          <w:rFonts w:hint="eastAsia" w:ascii="华文楷体" w:hAnsi="华文楷体" w:eastAsia="华文楷体" w:cs="华文楷体"/>
          <w:color w:val="auto"/>
          <w:sz w:val="20"/>
          <w:szCs w:val="20"/>
          <w:highlight w:val="none"/>
        </w:rPr>
        <w:t>品种、型号</w:t>
      </w:r>
      <w:r>
        <w:rPr>
          <w:rFonts w:hint="eastAsia" w:ascii="华文楷体" w:hAnsi="华文楷体" w:eastAsia="华文楷体" w:cs="华文楷体"/>
          <w:color w:val="auto"/>
          <w:sz w:val="20"/>
          <w:szCs w:val="20"/>
          <w:highlight w:val="none"/>
          <w:lang w:eastAsia="zh-CN"/>
        </w:rPr>
        <w:t>、</w:t>
      </w:r>
      <w:r>
        <w:rPr>
          <w:rFonts w:hint="eastAsia" w:ascii="华文楷体" w:hAnsi="华文楷体" w:eastAsia="华文楷体" w:cs="华文楷体"/>
          <w:color w:val="auto"/>
          <w:sz w:val="20"/>
          <w:szCs w:val="20"/>
          <w:highlight w:val="none"/>
        </w:rPr>
        <w:t>数量</w:t>
      </w:r>
      <w:r>
        <w:rPr>
          <w:rFonts w:hint="eastAsia" w:ascii="华文楷体" w:hAnsi="华文楷体" w:eastAsia="华文楷体" w:cs="华文楷体"/>
          <w:color w:val="auto"/>
          <w:sz w:val="20"/>
          <w:szCs w:val="20"/>
          <w:highlight w:val="none"/>
          <w:lang w:eastAsia="zh-CN"/>
        </w:rPr>
        <w:t>及</w:t>
      </w:r>
      <w:r>
        <w:rPr>
          <w:rFonts w:hint="eastAsia" w:ascii="华文楷体" w:hAnsi="华文楷体" w:eastAsia="华文楷体" w:cs="华文楷体"/>
          <w:color w:val="auto"/>
          <w:sz w:val="20"/>
          <w:szCs w:val="20"/>
        </w:rPr>
        <w:t>约定价款需调整的，双方协商一致后应另行签订</w:t>
      </w:r>
      <w:r>
        <w:rPr>
          <w:rFonts w:hint="eastAsia" w:ascii="华文楷体" w:hAnsi="华文楷体" w:eastAsia="华文楷体" w:cs="华文楷体"/>
          <w:color w:val="auto"/>
          <w:sz w:val="20"/>
          <w:szCs w:val="20"/>
          <w:lang w:eastAsia="zh-CN"/>
        </w:rPr>
        <w:t>书面</w:t>
      </w:r>
      <w:r>
        <w:rPr>
          <w:rFonts w:hint="eastAsia" w:ascii="华文楷体" w:hAnsi="华文楷体" w:eastAsia="华文楷体" w:cs="华文楷体"/>
          <w:color w:val="auto"/>
          <w:sz w:val="20"/>
          <w:szCs w:val="20"/>
        </w:rPr>
        <w:t>补充协议（格式见附件）并据此执行；未签订</w:t>
      </w:r>
      <w:r>
        <w:rPr>
          <w:rFonts w:hint="eastAsia" w:ascii="华文楷体" w:hAnsi="华文楷体" w:eastAsia="华文楷体" w:cs="华文楷体"/>
          <w:color w:val="auto"/>
          <w:sz w:val="20"/>
          <w:szCs w:val="20"/>
          <w:lang w:eastAsia="zh-CN"/>
        </w:rPr>
        <w:t>书面</w:t>
      </w:r>
      <w:r>
        <w:rPr>
          <w:rFonts w:hint="eastAsia" w:ascii="华文楷体" w:hAnsi="华文楷体" w:eastAsia="华文楷体" w:cs="华文楷体"/>
          <w:color w:val="auto"/>
          <w:sz w:val="20"/>
          <w:szCs w:val="20"/>
        </w:rPr>
        <w:t>补充协议的，按照本合同约定的价款执行。</w:t>
      </w:r>
    </w:p>
    <w:p>
      <w:pPr>
        <w:spacing w:line="264" w:lineRule="auto"/>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 xml:space="preserve">    第二条 质量条款</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2.1乙方在</w:t>
      </w:r>
      <w:r>
        <w:rPr>
          <w:rFonts w:ascii="华文楷体" w:hAnsi="华文楷体" w:eastAsia="华文楷体" w:cs="华文楷体"/>
          <w:color w:val="auto"/>
          <w:sz w:val="20"/>
          <w:szCs w:val="20"/>
        </w:rPr>
        <w:t>供货前</w:t>
      </w:r>
      <w:r>
        <w:rPr>
          <w:rFonts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rPr>
        <w:t>日内</w:t>
      </w:r>
      <w:r>
        <w:rPr>
          <w:rFonts w:hint="eastAsia" w:ascii="华文楷体" w:hAnsi="华文楷体" w:eastAsia="华文楷体" w:cs="华文楷体"/>
          <w:color w:val="auto"/>
          <w:sz w:val="20"/>
          <w:szCs w:val="20"/>
        </w:rPr>
        <w:t>将具有资质的检测机构出具的</w:t>
      </w:r>
      <w:r>
        <w:rPr>
          <w:rFonts w:hint="eastAsia" w:ascii="华文楷体" w:hAnsi="华文楷体" w:eastAsia="华文楷体" w:cs="华文楷体"/>
          <w:color w:val="auto"/>
          <w:sz w:val="20"/>
          <w:szCs w:val="20"/>
          <w:lang w:eastAsia="zh-CN"/>
        </w:rPr>
        <w:t>同批次产品的</w:t>
      </w:r>
      <w:r>
        <w:rPr>
          <w:rFonts w:hint="eastAsia" w:ascii="华文楷体" w:hAnsi="华文楷体" w:eastAsia="华文楷体" w:cs="华文楷体"/>
          <w:color w:val="auto"/>
          <w:sz w:val="20"/>
          <w:szCs w:val="20"/>
        </w:rPr>
        <w:t>型式检验报告提供给甲方，经销单位还需提供厂家授权资料。乙方在每批次供货时随车将所供应的产品的合格证书、出厂检测报告提供给甲方。</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2.</w:t>
      </w:r>
      <w:r>
        <w:rPr>
          <w:rFonts w:hint="default" w:ascii="华文楷体" w:hAnsi="华文楷体" w:eastAsia="华文楷体" w:cs="华文楷体"/>
          <w:color w:val="auto"/>
          <w:sz w:val="20"/>
          <w:szCs w:val="20"/>
          <w:lang w:val="en-US"/>
        </w:rPr>
        <w:t>2</w:t>
      </w:r>
      <w:r>
        <w:rPr>
          <w:rFonts w:hint="eastAsia" w:ascii="华文楷体" w:hAnsi="华文楷体" w:eastAsia="华文楷体" w:cs="华文楷体"/>
          <w:color w:val="auto"/>
          <w:sz w:val="20"/>
          <w:szCs w:val="20"/>
        </w:rPr>
        <w:t>乙方提供的矿物掺合料的各项性能指标需符合标准中的质量要求。上述执行标准如有变动的，以乙方供货时现行</w:t>
      </w:r>
      <w:r>
        <w:rPr>
          <w:rFonts w:hint="eastAsia" w:ascii="华文楷体" w:hAnsi="华文楷体" w:eastAsia="华文楷体" w:cs="华文楷体"/>
          <w:color w:val="auto"/>
          <w:sz w:val="20"/>
          <w:szCs w:val="20"/>
          <w:lang w:eastAsia="zh-CN"/>
        </w:rPr>
        <w:t>国家、地方和行业</w:t>
      </w:r>
      <w:r>
        <w:rPr>
          <w:rFonts w:hint="eastAsia" w:ascii="华文楷体" w:hAnsi="华文楷体" w:eastAsia="华文楷体" w:cs="华文楷体"/>
          <w:color w:val="auto"/>
          <w:sz w:val="20"/>
          <w:szCs w:val="20"/>
        </w:rPr>
        <w:t>标准为准。若不符合上述要求，甲方有权向乙方索赔由此造成的经济损失。</w:t>
      </w:r>
    </w:p>
    <w:p>
      <w:pPr>
        <w:spacing w:line="264" w:lineRule="auto"/>
        <w:ind w:firstLine="400" w:firstLineChars="200"/>
        <w:rPr>
          <w:rFonts w:ascii="华文楷体" w:hAnsi="华文楷体" w:eastAsia="华文楷体" w:cs="华文楷体"/>
          <w:color w:val="auto"/>
          <w:sz w:val="20"/>
          <w:szCs w:val="20"/>
          <w:highlight w:val="none"/>
        </w:rPr>
      </w:pPr>
      <w:r>
        <w:rPr>
          <w:rFonts w:hint="eastAsia" w:ascii="华文楷体" w:hAnsi="华文楷体" w:eastAsia="华文楷体" w:cs="华文楷体"/>
          <w:color w:val="auto"/>
          <w:sz w:val="20"/>
          <w:szCs w:val="20"/>
        </w:rPr>
        <w:t>2.3甲方应按照《预拌混凝土质量管理规程》（DB11/T 385）标准或</w:t>
      </w:r>
      <w:r>
        <w:rPr>
          <w:rFonts w:hint="eastAsia" w:ascii="华文楷体" w:hAnsi="华文楷体" w:eastAsia="华文楷体" w:cs="华文楷体"/>
          <w:color w:val="auto"/>
          <w:sz w:val="20"/>
          <w:szCs w:val="20"/>
          <w:highlight w:val="none"/>
        </w:rPr>
        <w:t>其他不低于《预拌混凝土质量管理规程》（DB11/T 385）的技术标准要求取样复试。</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bCs/>
          <w:color w:val="auto"/>
          <w:sz w:val="20"/>
          <w:szCs w:val="20"/>
        </w:rPr>
        <w:t>2.4甲方当日验收合格入库，并不免除乙方日后经甲方或第三方抽样结果不合格的责任。</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2.5若甲方对矿物掺合料有特殊要求或乙方就矿物掺合料向甲方做出特殊承诺的，双方协商一致后应另行签订</w:t>
      </w:r>
      <w:r>
        <w:rPr>
          <w:rFonts w:hint="eastAsia" w:ascii="华文楷体" w:hAnsi="华文楷体" w:eastAsia="华文楷体" w:cs="华文楷体"/>
          <w:color w:val="auto"/>
          <w:sz w:val="20"/>
          <w:szCs w:val="20"/>
          <w:lang w:eastAsia="zh-CN"/>
        </w:rPr>
        <w:t>书面</w:t>
      </w:r>
      <w:r>
        <w:rPr>
          <w:rFonts w:hint="eastAsia" w:ascii="华文楷体" w:hAnsi="华文楷体" w:eastAsia="华文楷体" w:cs="华文楷体"/>
          <w:color w:val="auto"/>
          <w:sz w:val="20"/>
          <w:szCs w:val="20"/>
        </w:rPr>
        <w:t>补充协议（格式见附件）并据此执行。</w:t>
      </w:r>
    </w:p>
    <w:p>
      <w:pPr>
        <w:spacing w:line="264" w:lineRule="auto"/>
        <w:ind w:firstLine="400" w:firstLineChars="200"/>
        <w:rPr>
          <w:rFonts w:hint="eastAsia"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2.6其他质量要求：</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rPr>
        <w:t>。</w:t>
      </w:r>
    </w:p>
    <w:p>
      <w:pPr>
        <w:spacing w:line="264" w:lineRule="auto"/>
        <w:ind w:firstLine="401" w:firstLineChars="200"/>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 xml:space="preserve">第三条 </w:t>
      </w:r>
      <w:r>
        <w:rPr>
          <w:rFonts w:hint="eastAsia" w:ascii="华文楷体" w:hAnsi="华文楷体" w:eastAsia="华文楷体" w:cs="华文楷体"/>
          <w:b/>
          <w:bCs/>
          <w:color w:val="auto"/>
          <w:sz w:val="20"/>
          <w:szCs w:val="20"/>
          <w:lang w:eastAsia="zh-CN"/>
        </w:rPr>
        <w:t>供货期</w:t>
      </w:r>
      <w:r>
        <w:rPr>
          <w:rFonts w:hint="eastAsia" w:ascii="华文楷体" w:hAnsi="华文楷体" w:eastAsia="华文楷体" w:cs="华文楷体"/>
          <w:b/>
          <w:bCs/>
          <w:color w:val="auto"/>
          <w:sz w:val="20"/>
          <w:szCs w:val="20"/>
        </w:rPr>
        <w:t>、地点和数量</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3.1</w:t>
      </w:r>
      <w:r>
        <w:rPr>
          <w:rFonts w:hint="eastAsia" w:ascii="华文楷体" w:hAnsi="华文楷体" w:eastAsia="华文楷体" w:cs="华文楷体"/>
          <w:bCs/>
          <w:color w:val="auto"/>
          <w:sz w:val="20"/>
          <w:szCs w:val="20"/>
          <w:lang w:eastAsia="zh-CN"/>
        </w:rPr>
        <w:t>供货期</w:t>
      </w:r>
      <w:r>
        <w:rPr>
          <w:rFonts w:hint="eastAsia" w:ascii="华文楷体" w:hAnsi="华文楷体" w:eastAsia="华文楷体" w:cs="华文楷体"/>
          <w:bCs/>
          <w:color w:val="auto"/>
          <w:sz w:val="20"/>
          <w:szCs w:val="20"/>
        </w:rPr>
        <w:t>：</w:t>
      </w:r>
      <w:r>
        <w:rPr>
          <w:rFonts w:hint="eastAsia" w:ascii="华文楷体" w:hAnsi="华文楷体" w:eastAsia="华文楷体" w:cs="华文楷体"/>
          <w:bCs/>
          <w:color w:val="auto"/>
          <w:sz w:val="20"/>
          <w:szCs w:val="20"/>
          <w:highlight w:val="none"/>
        </w:rPr>
        <w:t>自</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年</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月</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日至</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年</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月</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日</w:t>
      </w:r>
      <w:r>
        <w:rPr>
          <w:rFonts w:hint="eastAsia" w:ascii="华文楷体" w:hAnsi="华文楷体" w:eastAsia="华文楷体" w:cs="华文楷体"/>
          <w:bCs/>
          <w:color w:val="auto"/>
          <w:sz w:val="20"/>
          <w:szCs w:val="20"/>
        </w:rPr>
        <w:t>为</w:t>
      </w:r>
      <w:r>
        <w:rPr>
          <w:rFonts w:hint="eastAsia" w:ascii="华文楷体" w:hAnsi="华文楷体" w:eastAsia="华文楷体" w:cs="华文楷体"/>
          <w:color w:val="auto"/>
          <w:sz w:val="20"/>
          <w:szCs w:val="20"/>
        </w:rPr>
        <w:t>矿物掺合料</w:t>
      </w:r>
      <w:r>
        <w:rPr>
          <w:rFonts w:hint="eastAsia" w:ascii="华文楷体" w:hAnsi="华文楷体" w:eastAsia="华文楷体" w:cs="华文楷体"/>
          <w:bCs/>
          <w:color w:val="auto"/>
          <w:sz w:val="20"/>
          <w:szCs w:val="20"/>
        </w:rPr>
        <w:t>的供货期，在供货期内不同批次</w:t>
      </w:r>
      <w:r>
        <w:rPr>
          <w:rFonts w:hint="eastAsia" w:ascii="华文楷体" w:hAnsi="华文楷体" w:eastAsia="华文楷体" w:cs="华文楷体"/>
          <w:color w:val="auto"/>
          <w:sz w:val="20"/>
          <w:szCs w:val="20"/>
        </w:rPr>
        <w:t>矿物掺合料</w:t>
      </w:r>
      <w:r>
        <w:rPr>
          <w:rFonts w:hint="eastAsia" w:ascii="华文楷体" w:hAnsi="华文楷体" w:eastAsia="华文楷体" w:cs="华文楷体"/>
          <w:bCs/>
          <w:color w:val="auto"/>
          <w:sz w:val="20"/>
          <w:szCs w:val="20"/>
        </w:rPr>
        <w:t>的具体交付时间以甲方通知为准。</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3.2交付地点：</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w:t>
      </w:r>
      <w:r>
        <w:rPr>
          <w:rFonts w:hint="eastAsia" w:ascii="华文楷体" w:hAnsi="华文楷体" w:eastAsia="华文楷体" w:cs="华文楷体"/>
          <w:bCs/>
          <w:color w:val="auto"/>
          <w:sz w:val="20"/>
          <w:szCs w:val="20"/>
        </w:rPr>
        <w:t>乙方负责将矿物掺合料运送到该交付地并交付甲方，甲方收到乙方货物后应向乙方出具收货凭证，该凭证将作为甲乙双方对账的依据。</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3</w:t>
      </w:r>
      <w:r>
        <w:rPr>
          <w:rFonts w:ascii="华文楷体" w:hAnsi="华文楷体" w:eastAsia="华文楷体" w:cs="华文楷体"/>
          <w:color w:val="auto"/>
          <w:sz w:val="20"/>
          <w:szCs w:val="20"/>
        </w:rPr>
        <w:t>.3</w:t>
      </w:r>
      <w:r>
        <w:rPr>
          <w:rFonts w:hint="eastAsia" w:ascii="华文楷体" w:hAnsi="华文楷体" w:eastAsia="华文楷体" w:cs="华文楷体"/>
          <w:color w:val="auto"/>
          <w:sz w:val="20"/>
          <w:szCs w:val="20"/>
        </w:rPr>
        <w:t xml:space="preserve">甲方授权指定的签收人：  </w:t>
      </w:r>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41"/>
        <w:gridCol w:w="2604"/>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0"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姓名</w:t>
            </w: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联系电话</w:t>
            </w: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身份证号</w:t>
            </w:r>
          </w:p>
        </w:tc>
        <w:tc>
          <w:tcPr>
            <w:tcW w:w="2600"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签字笔迹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0"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0" w:type="dxa"/>
            <w:noWrap w:val="0"/>
            <w:vAlign w:val="top"/>
          </w:tcPr>
          <w:p>
            <w:pPr>
              <w:spacing w:line="288" w:lineRule="auto"/>
              <w:ind w:firstLine="400" w:firstLineChars="200"/>
              <w:rPr>
                <w:rFonts w:ascii="华文楷体" w:hAnsi="华文楷体" w:eastAsia="华文楷体" w:cs="华文楷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0"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0" w:type="dxa"/>
            <w:noWrap w:val="0"/>
            <w:vAlign w:val="top"/>
          </w:tcPr>
          <w:p>
            <w:pPr>
              <w:spacing w:line="288" w:lineRule="auto"/>
              <w:ind w:firstLine="400" w:firstLineChars="200"/>
              <w:rPr>
                <w:rFonts w:ascii="华文楷体" w:hAnsi="华文楷体" w:eastAsia="华文楷体" w:cs="华文楷体"/>
                <w:color w:val="auto"/>
                <w:sz w:val="20"/>
                <w:szCs w:val="20"/>
              </w:rPr>
            </w:pPr>
          </w:p>
        </w:tc>
      </w:tr>
    </w:tbl>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3.</w:t>
      </w:r>
      <w:r>
        <w:rPr>
          <w:rFonts w:ascii="华文楷体" w:hAnsi="华文楷体" w:eastAsia="华文楷体" w:cs="华文楷体"/>
          <w:color w:val="auto"/>
          <w:sz w:val="20"/>
          <w:szCs w:val="20"/>
        </w:rPr>
        <w:t>4</w:t>
      </w:r>
      <w:r>
        <w:rPr>
          <w:rFonts w:hint="eastAsia" w:ascii="华文楷体" w:hAnsi="华文楷体" w:eastAsia="华文楷体" w:cs="华文楷体"/>
          <w:color w:val="auto"/>
          <w:sz w:val="20"/>
          <w:szCs w:val="20"/>
        </w:rPr>
        <w:t>甲方授权指定的对账结算人：</w:t>
      </w:r>
    </w:p>
    <w:tbl>
      <w:tblPr>
        <w:tblStyle w:val="12"/>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1641"/>
        <w:gridCol w:w="2604"/>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姓名</w:t>
            </w: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联系电话</w:t>
            </w: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身份证号</w:t>
            </w:r>
          </w:p>
        </w:tc>
        <w:tc>
          <w:tcPr>
            <w:tcW w:w="2589"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签字笔迹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589" w:type="dxa"/>
            <w:noWrap w:val="0"/>
            <w:vAlign w:val="top"/>
          </w:tcPr>
          <w:p>
            <w:pPr>
              <w:spacing w:line="288" w:lineRule="auto"/>
              <w:ind w:firstLine="400" w:firstLineChars="200"/>
              <w:rPr>
                <w:rFonts w:ascii="华文楷体" w:hAnsi="华文楷体" w:eastAsia="华文楷体" w:cs="华文楷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589" w:type="dxa"/>
            <w:noWrap w:val="0"/>
            <w:vAlign w:val="top"/>
          </w:tcPr>
          <w:p>
            <w:pPr>
              <w:spacing w:line="288" w:lineRule="auto"/>
              <w:ind w:firstLine="400" w:firstLineChars="200"/>
              <w:rPr>
                <w:rFonts w:ascii="华文楷体" w:hAnsi="华文楷体" w:eastAsia="华文楷体" w:cs="华文楷体"/>
                <w:color w:val="auto"/>
                <w:sz w:val="20"/>
                <w:szCs w:val="20"/>
              </w:rPr>
            </w:pPr>
          </w:p>
        </w:tc>
      </w:tr>
    </w:tbl>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3.</w:t>
      </w:r>
      <w:r>
        <w:rPr>
          <w:rFonts w:ascii="华文楷体" w:hAnsi="华文楷体" w:eastAsia="华文楷体" w:cs="华文楷体"/>
          <w:color w:val="auto"/>
          <w:sz w:val="20"/>
          <w:szCs w:val="20"/>
        </w:rPr>
        <w:t>5</w:t>
      </w:r>
      <w:r>
        <w:rPr>
          <w:rFonts w:hint="eastAsia" w:ascii="华文楷体" w:hAnsi="华文楷体" w:eastAsia="华文楷体" w:cs="华文楷体"/>
          <w:color w:val="auto"/>
          <w:sz w:val="20"/>
          <w:szCs w:val="20"/>
        </w:rPr>
        <w:t>乙方授权指定的对账结算人：</w:t>
      </w:r>
    </w:p>
    <w:tbl>
      <w:tblPr>
        <w:tblStyle w:val="12"/>
        <w:tblW w:w="85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641"/>
        <w:gridCol w:w="2604"/>
        <w:gridCol w:w="2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2"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姓名</w:t>
            </w: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联系电话</w:t>
            </w: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身份证号</w:t>
            </w:r>
          </w:p>
        </w:tc>
        <w:tc>
          <w:tcPr>
            <w:tcW w:w="2620" w:type="dxa"/>
            <w:noWrap w:val="0"/>
            <w:vAlign w:val="top"/>
          </w:tcPr>
          <w:p>
            <w:pPr>
              <w:spacing w:line="288"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签字笔迹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2"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20" w:type="dxa"/>
            <w:noWrap w:val="0"/>
            <w:vAlign w:val="top"/>
          </w:tcPr>
          <w:p>
            <w:pPr>
              <w:spacing w:line="288" w:lineRule="auto"/>
              <w:ind w:firstLine="400" w:firstLineChars="200"/>
              <w:rPr>
                <w:rFonts w:ascii="华文楷体" w:hAnsi="华文楷体" w:eastAsia="华文楷体" w:cs="华文楷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82"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1641"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04" w:type="dxa"/>
            <w:noWrap w:val="0"/>
            <w:vAlign w:val="top"/>
          </w:tcPr>
          <w:p>
            <w:pPr>
              <w:spacing w:line="288" w:lineRule="auto"/>
              <w:ind w:firstLine="400" w:firstLineChars="200"/>
              <w:rPr>
                <w:rFonts w:ascii="华文楷体" w:hAnsi="华文楷体" w:eastAsia="华文楷体" w:cs="华文楷体"/>
                <w:color w:val="auto"/>
                <w:sz w:val="20"/>
                <w:szCs w:val="20"/>
              </w:rPr>
            </w:pPr>
          </w:p>
        </w:tc>
        <w:tc>
          <w:tcPr>
            <w:tcW w:w="2620" w:type="dxa"/>
            <w:noWrap w:val="0"/>
            <w:vAlign w:val="top"/>
          </w:tcPr>
          <w:p>
            <w:pPr>
              <w:spacing w:line="288" w:lineRule="auto"/>
              <w:ind w:firstLine="400" w:firstLineChars="200"/>
              <w:rPr>
                <w:rFonts w:ascii="华文楷体" w:hAnsi="华文楷体" w:eastAsia="华文楷体" w:cs="华文楷体"/>
                <w:color w:val="auto"/>
                <w:sz w:val="20"/>
                <w:szCs w:val="20"/>
              </w:rPr>
            </w:pPr>
          </w:p>
        </w:tc>
      </w:tr>
    </w:tbl>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3.</w:t>
      </w:r>
      <w:r>
        <w:rPr>
          <w:rFonts w:ascii="华文楷体" w:hAnsi="华文楷体" w:eastAsia="华文楷体" w:cs="华文楷体"/>
          <w:color w:val="auto"/>
          <w:sz w:val="20"/>
          <w:szCs w:val="20"/>
        </w:rPr>
        <w:t>6</w:t>
      </w:r>
      <w:r>
        <w:rPr>
          <w:rFonts w:hint="eastAsia" w:ascii="华文楷体" w:hAnsi="华文楷体" w:eastAsia="华文楷体" w:cs="华文楷体"/>
          <w:color w:val="auto"/>
          <w:sz w:val="20"/>
          <w:szCs w:val="20"/>
        </w:rPr>
        <w:t>指定矿物掺合料签收人、对账结算人变更约定：</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color w:val="auto"/>
          <w:sz w:val="20"/>
          <w:szCs w:val="20"/>
        </w:rPr>
        <w:t>为防止日后对账结算纠纷，若指定的矿物掺合料签收人、对账结算人出现变更，则变更的一方应当在变更当日向对方提供变更后的矿物掺合料签收人、对账结算人的授权书，以及变更后矿物掺合料签收人、对账结算人的姓名、联系电话、身份证号、签字笔记等相关信息，变更方未及时出具变更后矿物掺合料签收人、对账结算人的授权书及相关信息的，以变更前指定的矿物掺合料签收人、对账结算人为准，非指定签收人签署的收货凭证不得作为对账依据</w:t>
      </w:r>
      <w:r>
        <w:rPr>
          <w:rFonts w:hint="eastAsia" w:ascii="华文楷体" w:hAnsi="华文楷体" w:eastAsia="华文楷体" w:cs="华文楷体"/>
          <w:color w:val="auto"/>
          <w:sz w:val="20"/>
          <w:szCs w:val="20"/>
          <w:lang w:eastAsia="zh-CN"/>
        </w:rPr>
        <w:t>和</w:t>
      </w:r>
      <w:r>
        <w:rPr>
          <w:rFonts w:hint="eastAsia" w:ascii="华文楷体" w:hAnsi="华文楷体" w:eastAsia="华文楷体" w:cs="华文楷体"/>
          <w:color w:val="auto"/>
          <w:sz w:val="20"/>
          <w:szCs w:val="20"/>
        </w:rPr>
        <w:t>结算依据。</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3.</w:t>
      </w:r>
      <w:r>
        <w:rPr>
          <w:rFonts w:ascii="华文楷体" w:hAnsi="华文楷体" w:eastAsia="华文楷体" w:cs="华文楷体"/>
          <w:bCs/>
          <w:color w:val="auto"/>
          <w:sz w:val="20"/>
          <w:szCs w:val="20"/>
        </w:rPr>
        <w:t>7</w:t>
      </w:r>
      <w:r>
        <w:rPr>
          <w:rFonts w:hint="eastAsia" w:ascii="华文楷体" w:hAnsi="华文楷体" w:eastAsia="华文楷体" w:cs="华文楷体"/>
          <w:bCs/>
          <w:color w:val="auto"/>
          <w:sz w:val="20"/>
          <w:szCs w:val="20"/>
        </w:rPr>
        <w:t>交付数量：</w:t>
      </w:r>
    </w:p>
    <w:p>
      <w:pPr>
        <w:spacing w:line="264" w:lineRule="auto"/>
        <w:ind w:firstLine="400" w:firstLineChars="200"/>
        <w:rPr>
          <w:rFonts w:ascii="华文楷体" w:hAnsi="华文楷体" w:eastAsia="华文楷体" w:cs="华文楷体"/>
          <w:bCs/>
          <w:color w:val="auto"/>
          <w:sz w:val="20"/>
          <w:szCs w:val="20"/>
          <w:highlight w:val="none"/>
        </w:rPr>
      </w:pPr>
      <w:r>
        <w:rPr>
          <w:rFonts w:hint="eastAsia" w:ascii="华文楷体" w:hAnsi="华文楷体" w:eastAsia="华文楷体" w:cs="华文楷体"/>
          <w:bCs/>
          <w:color w:val="auto"/>
          <w:sz w:val="20"/>
          <w:szCs w:val="20"/>
          <w:highlight w:val="none"/>
        </w:rPr>
        <w:t>计量方式为</w:t>
      </w:r>
      <w:r>
        <w:rPr>
          <w:rFonts w:hint="eastAsia" w:ascii="华文楷体" w:hAnsi="华文楷体" w:eastAsia="华文楷体" w:cs="华文仿宋"/>
          <w:bCs/>
          <w:color w:val="auto"/>
          <w:sz w:val="20"/>
          <w:szCs w:val="20"/>
          <w:highlight w:val="none"/>
        </w:rPr>
        <w:t>过磅计量。</w:t>
      </w:r>
      <w:r>
        <w:rPr>
          <w:rFonts w:hint="eastAsia" w:ascii="华文楷体" w:hAnsi="华文楷体" w:eastAsia="华文楷体" w:cs="华文楷体"/>
          <w:bCs/>
          <w:color w:val="auto"/>
          <w:sz w:val="20"/>
          <w:szCs w:val="20"/>
          <w:highlight w:val="none"/>
        </w:rPr>
        <w:t>若甲方收货时过磅数量与乙方出库</w:t>
      </w:r>
      <w:r>
        <w:rPr>
          <w:rFonts w:hint="eastAsia" w:ascii="华文楷体" w:hAnsi="华文楷体" w:eastAsia="华文楷体" w:cs="华文楷体"/>
          <w:bCs/>
          <w:color w:val="auto"/>
          <w:sz w:val="20"/>
          <w:szCs w:val="20"/>
          <w:highlight w:val="none"/>
          <w:lang w:eastAsia="zh-CN"/>
        </w:rPr>
        <w:t>过</w:t>
      </w:r>
      <w:r>
        <w:rPr>
          <w:rFonts w:hint="eastAsia" w:ascii="华文楷体" w:hAnsi="华文楷体" w:eastAsia="华文楷体" w:cs="华文楷体"/>
          <w:bCs/>
          <w:color w:val="auto"/>
          <w:sz w:val="20"/>
          <w:szCs w:val="20"/>
          <w:highlight w:val="none"/>
        </w:rPr>
        <w:t>磅数量的差小于或等于</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，即在合理损耗范围内，则交付数量以甲方过磅数量为准，并按规定扣除合理损耗及含水；若甲方收货时过磅数量与乙方出库</w:t>
      </w:r>
      <w:r>
        <w:rPr>
          <w:rFonts w:hint="eastAsia" w:ascii="华文楷体" w:hAnsi="华文楷体" w:eastAsia="华文楷体" w:cs="华文楷体"/>
          <w:bCs/>
          <w:color w:val="auto"/>
          <w:sz w:val="20"/>
          <w:szCs w:val="20"/>
          <w:highlight w:val="none"/>
          <w:lang w:eastAsia="zh-CN"/>
        </w:rPr>
        <w:t>过</w:t>
      </w:r>
      <w:r>
        <w:rPr>
          <w:rFonts w:hint="eastAsia" w:ascii="华文楷体" w:hAnsi="华文楷体" w:eastAsia="华文楷体" w:cs="华文楷体"/>
          <w:bCs/>
          <w:color w:val="auto"/>
          <w:sz w:val="20"/>
          <w:szCs w:val="20"/>
          <w:highlight w:val="none"/>
        </w:rPr>
        <w:t>磅数量的差大于</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，则由甲乙双方协商解决，如不能达成一致，则应以甲乙双方共同指定的第三方过磅数量为准。</w:t>
      </w:r>
    </w:p>
    <w:p>
      <w:pPr>
        <w:spacing w:line="264" w:lineRule="auto"/>
        <w:ind w:firstLine="400" w:firstLineChars="200"/>
        <w:rPr>
          <w:rFonts w:hint="eastAsia"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3</w:t>
      </w:r>
      <w:r>
        <w:rPr>
          <w:rFonts w:ascii="华文楷体" w:hAnsi="华文楷体" w:eastAsia="华文楷体" w:cs="华文楷体"/>
          <w:bCs/>
          <w:color w:val="auto"/>
          <w:sz w:val="20"/>
          <w:szCs w:val="20"/>
        </w:rPr>
        <w:t>.8</w:t>
      </w:r>
      <w:r>
        <w:rPr>
          <w:rFonts w:hint="default" w:ascii="华文楷体" w:hAnsi="华文楷体" w:eastAsia="华文楷体" w:cs="华文楷体"/>
          <w:bCs/>
          <w:color w:val="auto"/>
          <w:sz w:val="20"/>
          <w:szCs w:val="20"/>
          <w:lang w:val="en-US"/>
        </w:rPr>
        <w:t xml:space="preserve"> </w:t>
      </w:r>
      <w:r>
        <w:rPr>
          <w:rFonts w:hint="eastAsia" w:ascii="华文楷体" w:hAnsi="华文楷体" w:eastAsia="华文楷体" w:cs="华文楷体"/>
          <w:bCs/>
          <w:color w:val="auto"/>
          <w:sz w:val="20"/>
          <w:szCs w:val="20"/>
        </w:rPr>
        <w:t>其他约定</w:t>
      </w: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w:t>
      </w:r>
    </w:p>
    <w:p>
      <w:pPr>
        <w:spacing w:line="264" w:lineRule="auto"/>
        <w:ind w:firstLine="401" w:firstLineChars="200"/>
        <w:rPr>
          <w:rFonts w:hint="eastAsia"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第四条 对账、结算、付款及发票</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4.1对账周期：双方约定每月</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color w:val="auto"/>
          <w:sz w:val="20"/>
          <w:szCs w:val="20"/>
        </w:rPr>
        <w:t>日</w:t>
      </w:r>
      <w:r>
        <w:rPr>
          <w:rFonts w:hint="eastAsia" w:ascii="华文楷体" w:hAnsi="华文楷体" w:eastAsia="华文楷体" w:cs="华文楷体"/>
          <w:bCs/>
          <w:color w:val="auto"/>
          <w:sz w:val="20"/>
          <w:szCs w:val="20"/>
        </w:rPr>
        <w:t>为对账日。</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4.2对账、结算</w:t>
      </w:r>
    </w:p>
    <w:p>
      <w:pPr>
        <w:spacing w:line="264" w:lineRule="auto"/>
        <w:ind w:firstLine="400" w:firstLineChars="200"/>
        <w:rPr>
          <w:rFonts w:ascii="华文楷体" w:hAnsi="华文楷体" w:eastAsia="华文楷体" w:cs="华文楷体"/>
          <w:color w:val="auto"/>
          <w:sz w:val="20"/>
          <w:szCs w:val="20"/>
          <w:highlight w:val="yellow"/>
        </w:rPr>
      </w:pPr>
      <w:r>
        <w:rPr>
          <w:rFonts w:hint="eastAsia" w:ascii="华文楷体" w:hAnsi="华文楷体" w:eastAsia="华文楷体" w:cs="华文楷体"/>
          <w:bCs/>
          <w:color w:val="auto"/>
          <w:sz w:val="20"/>
          <w:szCs w:val="20"/>
        </w:rPr>
        <w:t>每个对账周期结束后双方应对上一对账周期中乙方货款进行对账并签署对账单，对账单一式四份，双方各执两份，对账单由</w:t>
      </w:r>
      <w:r>
        <w:rPr>
          <w:rFonts w:hint="eastAsia" w:ascii="华文楷体" w:hAnsi="华文楷体" w:eastAsia="华文楷体" w:cs="华文楷体"/>
          <w:color w:val="auto"/>
          <w:sz w:val="20"/>
          <w:szCs w:val="20"/>
        </w:rPr>
        <w:t>双方加盖公章，或由本合同指定的对账结算人或授权的代表签字确认。</w:t>
      </w:r>
      <w:r>
        <w:rPr>
          <w:rFonts w:hint="eastAsia" w:ascii="华文楷体" w:hAnsi="华文楷体" w:eastAsia="华文楷体" w:cs="华文楷体"/>
          <w:bCs/>
          <w:color w:val="auto"/>
          <w:sz w:val="20"/>
          <w:szCs w:val="20"/>
        </w:rPr>
        <w:t>对账单是双方结算后付款的凭证。供货结束后，在</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日内进行结算，结算单须由双方盖章或授权代表签字</w:t>
      </w:r>
      <w:r>
        <w:rPr>
          <w:rFonts w:hint="eastAsia" w:ascii="华文楷体" w:hAnsi="华文楷体" w:eastAsia="华文楷体" w:cs="华文楷体"/>
          <w:bCs/>
          <w:color w:val="auto"/>
          <w:sz w:val="20"/>
          <w:szCs w:val="20"/>
          <w:highlight w:val="none"/>
        </w:rPr>
        <w:t>。</w:t>
      </w:r>
      <w:r>
        <w:rPr>
          <w:rFonts w:hint="eastAsia" w:ascii="华文楷体" w:hAnsi="华文楷体" w:eastAsia="华文楷体" w:cs="华文楷体"/>
          <w:color w:val="auto"/>
          <w:sz w:val="20"/>
          <w:szCs w:val="20"/>
          <w:highlight w:val="none"/>
          <w:u w:val="none"/>
          <w:vertAlign w:val="baseline"/>
          <w:lang w:val="en-US" w:eastAsia="zh-Hans"/>
        </w:rPr>
        <w:t>如到期未结算的</w:t>
      </w:r>
      <w:r>
        <w:rPr>
          <w:rFonts w:hint="eastAsia" w:ascii="华文楷体" w:hAnsi="华文楷体" w:eastAsia="华文楷体" w:cs="华文楷体"/>
          <w:color w:val="auto"/>
          <w:sz w:val="20"/>
          <w:szCs w:val="20"/>
          <w:highlight w:val="none"/>
          <w:u w:val="none"/>
          <w:vertAlign w:val="baseline"/>
          <w:lang w:eastAsia="zh-Hans"/>
        </w:rPr>
        <w:t>，</w:t>
      </w:r>
      <w:r>
        <w:rPr>
          <w:rFonts w:hint="eastAsia" w:ascii="华文楷体" w:hAnsi="华文楷体" w:eastAsia="华文楷体" w:cs="华文楷体"/>
          <w:color w:val="auto"/>
          <w:sz w:val="20"/>
          <w:szCs w:val="20"/>
          <w:highlight w:val="none"/>
          <w:u w:val="none"/>
          <w:vertAlign w:val="baseline"/>
          <w:lang w:val="en-US" w:eastAsia="zh-Hans"/>
        </w:rPr>
        <w:t>以月度对账单</w:t>
      </w:r>
      <w:r>
        <w:rPr>
          <w:rFonts w:hint="eastAsia" w:ascii="华文楷体" w:hAnsi="华文楷体" w:eastAsia="华文楷体" w:cs="华文楷体"/>
          <w:color w:val="auto"/>
          <w:sz w:val="20"/>
          <w:szCs w:val="20"/>
          <w:highlight w:val="none"/>
          <w:u w:val="none"/>
          <w:vertAlign w:val="baseline"/>
          <w:lang w:val="en-US" w:eastAsia="zh-CN"/>
        </w:rPr>
        <w:t>或</w:t>
      </w:r>
      <w:r>
        <w:rPr>
          <w:rFonts w:hint="eastAsia" w:ascii="华文楷体" w:hAnsi="华文楷体" w:eastAsia="华文楷体" w:cs="华文楷体"/>
          <w:color w:val="auto"/>
          <w:sz w:val="20"/>
          <w:szCs w:val="20"/>
          <w:highlight w:val="none"/>
          <w:u w:val="none"/>
          <w:vertAlign w:val="baseline"/>
          <w:lang w:val="en-US" w:eastAsia="zh-Hans"/>
        </w:rPr>
        <w:t>供货小票作为结算依据</w:t>
      </w:r>
      <w:r>
        <w:rPr>
          <w:rFonts w:hint="eastAsia" w:ascii="华文楷体" w:hAnsi="华文楷体" w:eastAsia="华文楷体" w:cs="华文楷体"/>
          <w:color w:val="auto"/>
          <w:sz w:val="20"/>
          <w:szCs w:val="20"/>
          <w:highlight w:val="none"/>
          <w:u w:val="none"/>
          <w:vertAlign w:val="baseline"/>
          <w:lang w:eastAsia="zh-Hans"/>
        </w:rPr>
        <w:t>。</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4.3付款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4.3.1本合同货款支付方式为：□电汇转账  □支票  □银行承兑汇票  □商业承兑  □其他：</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4.3.2双方约定按以下第</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种方式付款：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（1）一次性付款：本合同约定的货物全部供应完毕且货物验收合格，经双方结算后</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日内，甲方一次性支付全部货款。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（2）分阶段付款：本合同签订后</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日内甲方向乙方支付</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rPr>
        <w:t>元</w:t>
      </w:r>
      <w:r>
        <w:rPr>
          <w:rFonts w:hint="eastAsia" w:ascii="华文楷体" w:hAnsi="华文楷体" w:eastAsia="华文楷体" w:cs="华文楷体"/>
          <w:bCs/>
          <w:color w:val="auto"/>
          <w:sz w:val="20"/>
          <w:szCs w:val="20"/>
        </w:rPr>
        <w:t>作为预付款，本合同约定的货物全部供应完毕且货物验收合格，经双方结算后</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日内，甲方按照实际结算量向乙方支付剩余货款。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（3）按月度付款：甲方每月</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日前支付上一月供货货款的</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，本合同约定的货物全部供应完毕且货物验收合格后，经双方结算后</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none"/>
          <w:lang w:eastAsia="zh-CN"/>
        </w:rPr>
        <w:t>日</w:t>
      </w:r>
      <w:r>
        <w:rPr>
          <w:rFonts w:hint="eastAsia" w:ascii="华文楷体" w:hAnsi="华文楷体" w:eastAsia="华文楷体" w:cs="华文楷体"/>
          <w:bCs/>
          <w:color w:val="auto"/>
          <w:sz w:val="20"/>
          <w:szCs w:val="20"/>
        </w:rPr>
        <w:t>内，甲方支付剩余全部货款。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（4）按对账周期付款：甲方于每个对账周期结束后的</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日支付上一对账周期供货货款的</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，本合同约定的货物全部供应完毕且货物验收合格，经双方结算后</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日内，甲方支付剩余全部货款。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（5）按供货量付款：乙方的每批货物送达且货物验收合格，经双方结算后</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日内，甲方支付该批货物价款的</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u w:val="none"/>
        </w:rPr>
        <w:t>%</w:t>
      </w:r>
      <w:r>
        <w:rPr>
          <w:rFonts w:hint="eastAsia" w:ascii="华文楷体" w:hAnsi="华文楷体" w:eastAsia="华文楷体" w:cs="华文楷体"/>
          <w:bCs/>
          <w:color w:val="auto"/>
          <w:sz w:val="20"/>
          <w:szCs w:val="20"/>
        </w:rPr>
        <w:t>，本合同约定的货物全部供应完毕且货物验收合格，经过双方结算后</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日内，甲方支付剩余货款。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（6）其他方式：</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4.4发票条款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4.4.1乙方向甲方提供发票票种为：□增值税专用发票</w:t>
      </w:r>
      <w:r>
        <w:rPr>
          <w:rFonts w:hint="eastAsia" w:ascii="华文楷体" w:hAnsi="华文楷体" w:eastAsia="华文楷体" w:cs="华文楷体"/>
          <w:bCs/>
          <w:color w:val="auto"/>
          <w:sz w:val="20"/>
          <w:szCs w:val="20"/>
          <w:lang w:val="en-US" w:eastAsia="zh-CN"/>
        </w:rPr>
        <w:t xml:space="preserve"> </w:t>
      </w:r>
      <w:r>
        <w:rPr>
          <w:rFonts w:hint="eastAsia" w:ascii="华文楷体" w:hAnsi="华文楷体" w:eastAsia="华文楷体" w:cs="华文楷体"/>
          <w:bCs/>
          <w:color w:val="auto"/>
          <w:sz w:val="20"/>
          <w:szCs w:val="20"/>
        </w:rPr>
        <w:t>□增值税普通发票</w:t>
      </w:r>
      <w:r>
        <w:rPr>
          <w:rFonts w:hint="eastAsia" w:ascii="华文楷体" w:hAnsi="华文楷体" w:eastAsia="华文楷体" w:cs="华文楷体"/>
          <w:bCs/>
          <w:color w:val="auto"/>
          <w:sz w:val="20"/>
          <w:szCs w:val="20"/>
          <w:lang w:val="en-US" w:eastAsia="zh-CN"/>
        </w:rPr>
        <w:t xml:space="preserve"> </w:t>
      </w:r>
      <w:r>
        <w:rPr>
          <w:rFonts w:hint="eastAsia" w:ascii="华文楷体" w:hAnsi="华文楷体" w:eastAsia="华文楷体" w:cs="华文楷体"/>
          <w:bCs/>
          <w:color w:val="auto"/>
          <w:sz w:val="20"/>
          <w:szCs w:val="20"/>
        </w:rPr>
        <w:t>□国税通用普通机打发票</w:t>
      </w: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rPr>
        <w:t>乙方提供的发票税率为</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bCs/>
          <w:color w:val="auto"/>
          <w:sz w:val="20"/>
          <w:szCs w:val="20"/>
        </w:rPr>
        <w:t>4.4.2乙方应当按照本合同的约定为甲方开具发票。如遇国家税收法律政策变化影响税率及开具发票行为的，甲乙</w:t>
      </w:r>
      <w:r>
        <w:rPr>
          <w:rFonts w:hint="eastAsia" w:ascii="华文楷体" w:hAnsi="华文楷体" w:eastAsia="华文楷体" w:cs="华文楷体"/>
          <w:color w:val="auto"/>
          <w:sz w:val="20"/>
          <w:szCs w:val="20"/>
        </w:rPr>
        <w:t>双方协商解决。</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4.4.3甲方每次付款前，乙方应向甲方出具等额、合法、真实、有效的发票，否则甲方有权不予支付，直至乙方提供等额合法有效发票且不承担</w:t>
      </w:r>
      <w:r>
        <w:rPr>
          <w:rFonts w:hint="eastAsia" w:ascii="华文楷体" w:hAnsi="华文楷体" w:eastAsia="华文楷体" w:cs="华文楷体"/>
          <w:bCs/>
          <w:color w:val="auto"/>
          <w:sz w:val="20"/>
          <w:szCs w:val="20"/>
          <w:lang w:eastAsia="zh-CN"/>
        </w:rPr>
        <w:t>违约</w:t>
      </w:r>
      <w:r>
        <w:rPr>
          <w:rFonts w:hint="eastAsia" w:ascii="华文楷体" w:hAnsi="华文楷体" w:eastAsia="华文楷体" w:cs="华文楷体"/>
          <w:bCs/>
          <w:color w:val="auto"/>
          <w:sz w:val="20"/>
          <w:szCs w:val="20"/>
        </w:rPr>
        <w:t>责任。如因乙方提供发票不合规导致补交税款、滞纳金、罚款及其他相关损失的，乙方应向甲方承担不合规发票金额双倍赔偿责任，甲方有权从应付乙方货款中予以扣除。</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4.4.4本合同各方确认收款和纳税信息如下，因提供本方信息错误，给对方造成的损失，由责任方承担。</w:t>
      </w:r>
    </w:p>
    <w:tbl>
      <w:tblPr>
        <w:tblStyle w:val="12"/>
        <w:tblW w:w="921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2253"/>
        <w:gridCol w:w="4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restart"/>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甲方开票信息</w:t>
            </w: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单位名称</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纳税人识别号</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地址、电话</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开户行</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账号</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85" w:type="dxa"/>
            <w:vMerge w:val="restart"/>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乙方收款信息</w:t>
            </w: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单位名称</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纳税人识别号</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地址、电话</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开户行</w:t>
            </w:r>
          </w:p>
        </w:tc>
        <w:tc>
          <w:tcPr>
            <w:tcW w:w="4975" w:type="dxa"/>
            <w:noWrap w:val="0"/>
            <w:vAlign w:val="center"/>
          </w:tcPr>
          <w:p>
            <w:pPr>
              <w:spacing w:line="320" w:lineRule="exact"/>
              <w:rPr>
                <w:rFonts w:ascii="华文楷体" w:hAnsi="华文楷体" w:eastAsia="华文楷体" w:cs="华文仿宋"/>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985" w:type="dxa"/>
            <w:vMerge w:val="continue"/>
            <w:noWrap w:val="0"/>
            <w:vAlign w:val="center"/>
          </w:tcPr>
          <w:p>
            <w:pPr>
              <w:spacing w:line="320" w:lineRule="exact"/>
              <w:ind w:left="840" w:leftChars="400"/>
              <w:jc w:val="center"/>
              <w:rPr>
                <w:rFonts w:ascii="华文楷体" w:hAnsi="华文楷体" w:eastAsia="华文楷体" w:cs="华文仿宋"/>
                <w:b/>
                <w:color w:val="auto"/>
                <w:sz w:val="20"/>
                <w:szCs w:val="20"/>
              </w:rPr>
            </w:pPr>
          </w:p>
        </w:tc>
        <w:tc>
          <w:tcPr>
            <w:tcW w:w="2253" w:type="dxa"/>
            <w:noWrap w:val="0"/>
            <w:vAlign w:val="center"/>
          </w:tcPr>
          <w:p>
            <w:pPr>
              <w:spacing w:line="320" w:lineRule="exact"/>
              <w:jc w:val="center"/>
              <w:rPr>
                <w:rFonts w:ascii="华文楷体" w:hAnsi="华文楷体" w:eastAsia="华文楷体" w:cs="华文仿宋"/>
                <w:b/>
                <w:color w:val="auto"/>
                <w:sz w:val="20"/>
                <w:szCs w:val="20"/>
              </w:rPr>
            </w:pPr>
            <w:r>
              <w:rPr>
                <w:rFonts w:hint="eastAsia" w:ascii="华文楷体" w:hAnsi="华文楷体" w:eastAsia="华文楷体" w:cs="华文仿宋"/>
                <w:color w:val="auto"/>
                <w:sz w:val="20"/>
                <w:szCs w:val="20"/>
              </w:rPr>
              <w:t>账号</w:t>
            </w:r>
          </w:p>
        </w:tc>
        <w:tc>
          <w:tcPr>
            <w:tcW w:w="4975" w:type="dxa"/>
            <w:noWrap w:val="0"/>
            <w:vAlign w:val="center"/>
          </w:tcPr>
          <w:p>
            <w:pPr>
              <w:spacing w:line="320" w:lineRule="exact"/>
              <w:rPr>
                <w:rFonts w:ascii="华文楷体" w:hAnsi="华文楷体" w:eastAsia="华文楷体" w:cs="华文仿宋"/>
                <w:b/>
                <w:color w:val="auto"/>
                <w:sz w:val="20"/>
                <w:szCs w:val="20"/>
              </w:rPr>
            </w:pPr>
          </w:p>
        </w:tc>
      </w:tr>
    </w:tbl>
    <w:p>
      <w:pPr>
        <w:spacing w:line="264" w:lineRule="auto"/>
        <w:ind w:firstLine="401" w:firstLineChars="200"/>
        <w:rPr>
          <w:rFonts w:hint="eastAsia" w:ascii="华文楷体" w:hAnsi="华文楷体" w:eastAsia="华文楷体" w:cs="华文楷体"/>
          <w:b/>
          <w:bCs/>
          <w:color w:val="auto"/>
          <w:sz w:val="20"/>
          <w:szCs w:val="20"/>
        </w:rPr>
      </w:pPr>
    </w:p>
    <w:p>
      <w:pPr>
        <w:spacing w:line="264" w:lineRule="auto"/>
        <w:ind w:firstLine="401" w:firstLineChars="200"/>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第五条  双方义务</w:t>
      </w:r>
    </w:p>
    <w:p>
      <w:pPr>
        <w:spacing w:line="264" w:lineRule="auto"/>
        <w:ind w:firstLine="401" w:firstLineChars="200"/>
        <w:rPr>
          <w:rFonts w:ascii="华文楷体" w:hAnsi="华文楷体" w:eastAsia="华文楷体" w:cs="华文楷体"/>
          <w:b/>
          <w:bCs w:val="0"/>
          <w:color w:val="auto"/>
          <w:sz w:val="20"/>
          <w:szCs w:val="20"/>
        </w:rPr>
      </w:pPr>
      <w:r>
        <w:rPr>
          <w:rFonts w:hint="eastAsia" w:ascii="华文楷体" w:hAnsi="华文楷体" w:eastAsia="华文楷体" w:cs="华文楷体"/>
          <w:b/>
          <w:bCs w:val="0"/>
          <w:color w:val="auto"/>
          <w:sz w:val="20"/>
          <w:szCs w:val="20"/>
        </w:rPr>
        <w:t>5.1甲方义务</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5.1.1甲方应当提前</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日就送货的具体时间、地点及收货人等情况与乙方进行确认，</w:t>
      </w:r>
      <w:r>
        <w:rPr>
          <w:rFonts w:hint="eastAsia" w:ascii="华文楷体" w:hAnsi="华文楷体" w:eastAsia="华文楷体" w:cs="华文楷体"/>
          <w:bCs/>
          <w:color w:val="auto"/>
          <w:sz w:val="20"/>
          <w:szCs w:val="20"/>
          <w:lang w:eastAsia="zh-CN"/>
        </w:rPr>
        <w:t>以保证乙方有足够的供货准备时间，</w:t>
      </w:r>
      <w:r>
        <w:rPr>
          <w:rFonts w:hint="eastAsia" w:ascii="华文楷体" w:hAnsi="华文楷体" w:eastAsia="华文楷体" w:cs="华文楷体"/>
          <w:bCs/>
          <w:color w:val="auto"/>
          <w:sz w:val="20"/>
          <w:szCs w:val="20"/>
        </w:rPr>
        <w:t>并提供必要的协助。</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5.1.2甲方应当按照合同约定办理货款对账、结算并支付货款。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5.1.3甲方应根据生产需要，提前</w:t>
      </w:r>
      <w:r>
        <w:rPr>
          <w:rFonts w:hint="eastAsia" w:ascii="华文楷体" w:hAnsi="华文楷体" w:eastAsia="华文楷体" w:cs="华文楷体"/>
          <w:color w:val="auto"/>
          <w:sz w:val="20"/>
          <w:szCs w:val="20"/>
          <w:highlight w:val="none"/>
          <w:u w:val="single"/>
        </w:rPr>
        <w:t xml:space="preserve">     </w:t>
      </w:r>
      <w:r>
        <w:rPr>
          <w:rFonts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楷体"/>
          <w:bCs/>
          <w:color w:val="auto"/>
          <w:sz w:val="20"/>
          <w:szCs w:val="20"/>
        </w:rPr>
        <w:t>小时以书面传真或其他有效方式向乙方提出采购计划，以保证乙方有足够的供货准备时间。在原材料供应紧张时，双方</w:t>
      </w:r>
      <w:r>
        <w:rPr>
          <w:rFonts w:hint="eastAsia" w:ascii="华文楷体" w:hAnsi="华文楷体" w:eastAsia="华文楷体" w:cs="华文楷体"/>
          <w:bCs/>
          <w:color w:val="auto"/>
          <w:sz w:val="20"/>
          <w:szCs w:val="20"/>
          <w:lang w:eastAsia="zh-CN"/>
        </w:rPr>
        <w:t>可</w:t>
      </w:r>
      <w:r>
        <w:rPr>
          <w:rFonts w:hint="eastAsia" w:ascii="华文楷体" w:hAnsi="华文楷体" w:eastAsia="华文楷体" w:cs="华文楷体"/>
          <w:bCs/>
          <w:color w:val="auto"/>
          <w:sz w:val="20"/>
          <w:szCs w:val="20"/>
        </w:rPr>
        <w:t>协商确定供货量。</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bCs/>
          <w:color w:val="auto"/>
          <w:sz w:val="20"/>
          <w:szCs w:val="20"/>
        </w:rPr>
        <w:t>5.1.4 甲方应对乙</w:t>
      </w:r>
      <w:r>
        <w:rPr>
          <w:rFonts w:hint="eastAsia" w:ascii="华文楷体" w:hAnsi="华文楷体" w:eastAsia="华文楷体" w:cs="华文楷体"/>
          <w:color w:val="auto"/>
          <w:sz w:val="20"/>
          <w:szCs w:val="20"/>
        </w:rPr>
        <w:t>方做好质量、环境、安全、职业健康相关交底。</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5.1.5 甲方应遵守国家和北京市的相关安全生产、环境保护和交通安全方面的法律法规。安排专人负责厂区调度指挥，并应提供充分的安全作业环境和通行条件，保证乙方车辆及人员进出现场的安全，以及安排必要的冲洗设备和场地，确保车辆驶出现场达到环保要求。</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5.1.6甲方应指派专人负责对交付的原材料发货单载明的内容进行核实确认。</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5.1.7 甲方应严格规范采购行为，按要求进行建设工程材料采购信息填报等有关事宜。</w:t>
      </w:r>
    </w:p>
    <w:p>
      <w:pPr>
        <w:spacing w:line="264" w:lineRule="auto"/>
        <w:ind w:firstLine="401" w:firstLineChars="200"/>
        <w:rPr>
          <w:rFonts w:ascii="华文楷体" w:hAnsi="华文楷体" w:eastAsia="华文楷体" w:cs="华文楷体"/>
          <w:b/>
          <w:bCs w:val="0"/>
          <w:color w:val="auto"/>
          <w:sz w:val="20"/>
          <w:szCs w:val="20"/>
        </w:rPr>
      </w:pPr>
      <w:r>
        <w:rPr>
          <w:rFonts w:hint="eastAsia" w:ascii="华文楷体" w:hAnsi="华文楷体" w:eastAsia="华文楷体" w:cs="华文楷体"/>
          <w:b/>
          <w:bCs w:val="0"/>
          <w:color w:val="auto"/>
          <w:sz w:val="20"/>
          <w:szCs w:val="20"/>
        </w:rPr>
        <w:t>5.2乙方义务</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5.2.1乙方应当按照合同约定保质保量按时供货。</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5.2.2 乙方应遵守国家和北京市的有关安全生产、环境保护和交通安全等法律法规。乙方车辆及人员进入现场后，应遵守其安全有关规定，确保人员健康及财产安全，如乙方人员或设备在甲方厂区内因自身原因发生意外事故受到人身财产损害</w:t>
      </w:r>
      <w:r>
        <w:rPr>
          <w:rFonts w:hint="eastAsia" w:ascii="华文楷体" w:hAnsi="华文楷体" w:eastAsia="华文楷体" w:cs="华文楷体"/>
          <w:bCs/>
          <w:color w:val="auto"/>
          <w:sz w:val="20"/>
          <w:szCs w:val="20"/>
          <w:lang w:eastAsia="zh-CN"/>
        </w:rPr>
        <w:t>或</w:t>
      </w:r>
      <w:r>
        <w:rPr>
          <w:rFonts w:hint="eastAsia" w:ascii="华文楷体" w:hAnsi="华文楷体" w:eastAsia="华文楷体" w:cs="华文楷体"/>
          <w:bCs/>
          <w:color w:val="auto"/>
          <w:sz w:val="20"/>
          <w:szCs w:val="20"/>
        </w:rPr>
        <w:t>导致第三人人身财产损害的，由乙方承担全部责任。</w:t>
      </w:r>
    </w:p>
    <w:p>
      <w:pPr>
        <w:spacing w:line="264" w:lineRule="auto"/>
        <w:ind w:firstLine="400" w:firstLineChars="200"/>
        <w:rPr>
          <w:rFonts w:ascii="华文楷体" w:hAnsi="华文楷体" w:eastAsia="华文楷体" w:cs="华文楷体"/>
          <w:color w:val="auto"/>
          <w:sz w:val="20"/>
          <w:szCs w:val="20"/>
        </w:rPr>
      </w:pPr>
      <w:r>
        <w:rPr>
          <w:rFonts w:hint="eastAsia" w:ascii="华文楷体" w:hAnsi="华文楷体" w:eastAsia="华文楷体" w:cs="华文楷体"/>
          <w:bCs/>
          <w:color w:val="auto"/>
          <w:sz w:val="20"/>
          <w:szCs w:val="20"/>
        </w:rPr>
        <w:t>5.2.3</w:t>
      </w:r>
      <w:r>
        <w:rPr>
          <w:rFonts w:hint="eastAsia" w:ascii="华文楷体" w:hAnsi="华文楷体" w:eastAsia="华文楷体" w:cs="华文楷体"/>
          <w:color w:val="auto"/>
          <w:sz w:val="20"/>
          <w:szCs w:val="20"/>
        </w:rPr>
        <w:t>乙方在运输过程中，因不符合当地政府对于污染防治及车辆运输的相关规定而受到行政</w:t>
      </w:r>
      <w:r>
        <w:rPr>
          <w:rFonts w:hint="eastAsia" w:ascii="华文楷体" w:hAnsi="华文楷体" w:eastAsia="华文楷体" w:cs="华文楷体"/>
          <w:color w:val="auto"/>
          <w:sz w:val="20"/>
          <w:szCs w:val="20"/>
          <w:lang w:eastAsia="zh-CN"/>
        </w:rPr>
        <w:t>处理</w:t>
      </w:r>
      <w:r>
        <w:rPr>
          <w:rFonts w:hint="eastAsia" w:ascii="华文楷体" w:hAnsi="华文楷体" w:eastAsia="华文楷体" w:cs="华文楷体"/>
          <w:color w:val="auto"/>
          <w:sz w:val="20"/>
          <w:szCs w:val="20"/>
        </w:rPr>
        <w:t>处罚</w:t>
      </w:r>
      <w:r>
        <w:rPr>
          <w:rFonts w:hint="eastAsia" w:ascii="华文楷体" w:hAnsi="华文楷体" w:eastAsia="华文楷体" w:cs="华文楷体"/>
          <w:color w:val="auto"/>
          <w:sz w:val="20"/>
          <w:szCs w:val="20"/>
          <w:lang w:eastAsia="zh-CN"/>
        </w:rPr>
        <w:t>等</w:t>
      </w:r>
      <w:r>
        <w:rPr>
          <w:rFonts w:hint="eastAsia" w:ascii="华文楷体" w:hAnsi="华文楷体" w:eastAsia="华文楷体" w:cs="华文楷体"/>
          <w:color w:val="auto"/>
          <w:sz w:val="20"/>
          <w:szCs w:val="20"/>
        </w:rPr>
        <w:t>所有责任均由乙方承担。</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color w:val="auto"/>
          <w:sz w:val="20"/>
          <w:szCs w:val="20"/>
        </w:rPr>
        <w:t>5.2.4</w:t>
      </w:r>
      <w:r>
        <w:rPr>
          <w:rFonts w:hint="eastAsia" w:ascii="华文楷体" w:hAnsi="华文楷体" w:eastAsia="华文楷体" w:cs="华文楷体"/>
          <w:bCs/>
          <w:color w:val="auto"/>
          <w:sz w:val="20"/>
          <w:szCs w:val="20"/>
        </w:rPr>
        <w:t>乙方保证对其所提供的货物享有完整的所有权或完全的处分权，不存在任何权利瑕疵，并将其货物的所有权完全转移于甲方，保证第三人不得向甲方主张任何权利。若因货物权利瑕疵导致任何第三方与甲方发生纠纷，由乙方负责与第三方交涉并保证甲方不受任何追究。同时，乙方有义务赔偿甲方因此遭受的一切损失。</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5.2.5乙方应获得所供应材料生产厂家的授权或者买卖合同，并采取签封、影像等技术或信息化手段保证材料来源可追溯。</w:t>
      </w:r>
    </w:p>
    <w:p>
      <w:pPr>
        <w:spacing w:line="264" w:lineRule="auto"/>
        <w:ind w:firstLine="400" w:firstLineChars="200"/>
        <w:rPr>
          <w:rFonts w:hint="eastAsia" w:ascii="华文楷体" w:hAnsi="华文楷体" w:eastAsia="华文楷体" w:cs="华文仿宋"/>
          <w:bCs/>
          <w:color w:val="auto"/>
          <w:sz w:val="20"/>
          <w:szCs w:val="20"/>
          <w:highlight w:val="none"/>
        </w:rPr>
      </w:pPr>
      <w:r>
        <w:rPr>
          <w:rFonts w:hint="eastAsia" w:ascii="华文楷体" w:hAnsi="华文楷体" w:eastAsia="华文楷体" w:cs="华文仿宋"/>
          <w:bCs/>
          <w:color w:val="auto"/>
          <w:sz w:val="20"/>
          <w:szCs w:val="20"/>
          <w:highlight w:val="none"/>
        </w:rPr>
        <w:t>5.2.6乙方</w:t>
      </w:r>
      <w:r>
        <w:rPr>
          <w:rFonts w:hint="eastAsia" w:ascii="华文楷体" w:hAnsi="华文楷体" w:eastAsia="华文楷体" w:cs="华文仿宋"/>
          <w:bCs/>
          <w:color w:val="auto"/>
          <w:sz w:val="20"/>
          <w:szCs w:val="20"/>
          <w:highlight w:val="none"/>
          <w:lang w:eastAsia="zh-CN"/>
        </w:rPr>
        <w:t>应配合</w:t>
      </w:r>
      <w:r>
        <w:rPr>
          <w:rFonts w:hint="eastAsia" w:ascii="华文楷体" w:hAnsi="华文楷体" w:eastAsia="华文楷体" w:cs="华文仿宋"/>
          <w:bCs/>
          <w:color w:val="auto"/>
          <w:sz w:val="20"/>
          <w:szCs w:val="20"/>
          <w:highlight w:val="none"/>
        </w:rPr>
        <w:t>甲方</w:t>
      </w:r>
      <w:r>
        <w:rPr>
          <w:rFonts w:hint="eastAsia" w:ascii="华文楷体" w:hAnsi="华文楷体" w:eastAsia="华文楷体" w:cs="华文仿宋"/>
          <w:bCs/>
          <w:color w:val="auto"/>
          <w:sz w:val="20"/>
          <w:szCs w:val="20"/>
          <w:highlight w:val="none"/>
          <w:lang w:eastAsia="zh-CN"/>
        </w:rPr>
        <w:t>查询并掌握供货运输车辆</w:t>
      </w:r>
      <w:r>
        <w:rPr>
          <w:rFonts w:hint="eastAsia" w:ascii="华文楷体" w:hAnsi="华文楷体" w:eastAsia="华文楷体" w:cs="华文仿宋"/>
          <w:bCs/>
          <w:color w:val="auto"/>
          <w:sz w:val="20"/>
          <w:szCs w:val="20"/>
          <w:highlight w:val="none"/>
        </w:rPr>
        <w:t>定位</w:t>
      </w:r>
      <w:r>
        <w:rPr>
          <w:rFonts w:hint="eastAsia" w:ascii="华文楷体" w:hAnsi="华文楷体" w:eastAsia="华文楷体" w:cs="华文仿宋"/>
          <w:bCs/>
          <w:color w:val="auto"/>
          <w:sz w:val="20"/>
          <w:szCs w:val="20"/>
          <w:highlight w:val="none"/>
          <w:lang w:eastAsia="zh-CN"/>
        </w:rPr>
        <w:t>及运行轨迹</w:t>
      </w:r>
      <w:r>
        <w:rPr>
          <w:rFonts w:hint="eastAsia" w:ascii="华文楷体" w:hAnsi="华文楷体" w:eastAsia="华文楷体" w:cs="华文仿宋"/>
          <w:bCs/>
          <w:color w:val="auto"/>
          <w:sz w:val="20"/>
          <w:szCs w:val="20"/>
          <w:highlight w:val="none"/>
        </w:rPr>
        <w:t>。</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5.2.</w:t>
      </w:r>
      <w:r>
        <w:rPr>
          <w:rFonts w:hint="eastAsia" w:ascii="华文楷体" w:hAnsi="华文楷体" w:eastAsia="华文楷体" w:cs="华文楷体"/>
          <w:bCs/>
          <w:color w:val="auto"/>
          <w:sz w:val="20"/>
          <w:szCs w:val="20"/>
          <w:lang w:val="en-US" w:eastAsia="zh-CN"/>
        </w:rPr>
        <w:t>7</w:t>
      </w:r>
      <w:r>
        <w:rPr>
          <w:rFonts w:hint="eastAsia" w:ascii="华文楷体" w:hAnsi="华文楷体" w:eastAsia="华文楷体" w:cs="华文楷体"/>
          <w:bCs/>
          <w:color w:val="auto"/>
          <w:sz w:val="20"/>
          <w:szCs w:val="20"/>
        </w:rPr>
        <w:t>乙方应保证所供应材料相关质量证明文件的真实性。</w:t>
      </w:r>
    </w:p>
    <w:p>
      <w:pPr>
        <w:spacing w:line="264" w:lineRule="auto"/>
        <w:ind w:firstLine="401" w:firstLineChars="200"/>
        <w:rPr>
          <w:rFonts w:hint="eastAsia" w:ascii="华文楷体" w:hAnsi="华文楷体" w:eastAsia="华文楷体" w:cs="华文楷体"/>
          <w:bCs/>
          <w:color w:val="auto"/>
          <w:sz w:val="20"/>
          <w:szCs w:val="20"/>
          <w:lang w:eastAsia="zh-CN"/>
        </w:rPr>
      </w:pPr>
      <w:r>
        <w:rPr>
          <w:rFonts w:hint="eastAsia" w:ascii="华文楷体" w:hAnsi="华文楷体" w:eastAsia="华文楷体" w:cs="华文楷体"/>
          <w:b/>
          <w:bCs/>
          <w:color w:val="auto"/>
          <w:sz w:val="20"/>
          <w:szCs w:val="20"/>
        </w:rPr>
        <w:t>第六条</w:t>
      </w:r>
      <w:r>
        <w:rPr>
          <w:rFonts w:hint="eastAsia" w:ascii="华文楷体" w:hAnsi="华文楷体" w:eastAsia="华文楷体" w:cs="华文楷体"/>
          <w:b/>
          <w:bCs/>
          <w:color w:val="auto"/>
          <w:sz w:val="20"/>
          <w:szCs w:val="20"/>
          <w:lang w:val="en-US" w:eastAsia="zh-CN"/>
        </w:rPr>
        <w:t xml:space="preserve"> </w:t>
      </w:r>
      <w:r>
        <w:rPr>
          <w:rFonts w:hint="eastAsia" w:ascii="华文楷体" w:hAnsi="华文楷体" w:eastAsia="华文楷体" w:cs="华文楷体"/>
          <w:b/>
          <w:bCs/>
          <w:color w:val="auto"/>
          <w:sz w:val="20"/>
          <w:szCs w:val="20"/>
        </w:rPr>
        <w:t>保密</w:t>
      </w:r>
      <w:r>
        <w:rPr>
          <w:rFonts w:hint="eastAsia" w:ascii="华文楷体" w:hAnsi="华文楷体" w:eastAsia="华文楷体" w:cs="华文楷体"/>
          <w:b/>
          <w:bCs/>
          <w:color w:val="auto"/>
          <w:sz w:val="20"/>
          <w:szCs w:val="20"/>
          <w:lang w:eastAsia="zh-CN"/>
        </w:rPr>
        <w:t>条款</w:t>
      </w:r>
    </w:p>
    <w:p>
      <w:pPr>
        <w:spacing w:line="264" w:lineRule="auto"/>
        <w:ind w:firstLine="400" w:firstLineChars="200"/>
        <w:rPr>
          <w:rFonts w:hint="eastAsia"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6.1双方均对对方提供的资料承担保密义务。保密义务不因本合同履行完毕或解除而终止，无论本合同是否有效、变更、解除、终止，本条款的效力均不受影响。</w:t>
      </w:r>
    </w:p>
    <w:p>
      <w:pPr>
        <w:spacing w:line="264" w:lineRule="auto"/>
        <w:ind w:firstLine="400" w:firstLineChars="200"/>
        <w:rPr>
          <w:rFonts w:hint="eastAsia"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6.2本合同约定的保密期为</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年，自本合同签订之日起算。</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6.3在保密期内，双方均应履行以下保密义务：</w:t>
      </w:r>
    </w:p>
    <w:p>
      <w:pPr>
        <w:spacing w:line="264" w:lineRule="auto"/>
        <w:ind w:firstLine="400" w:firstLineChars="200"/>
        <w:rPr>
          <w:rFonts w:hint="eastAsia" w:ascii="华文楷体" w:hAnsi="华文楷体" w:eastAsia="华文楷体" w:cs="华文楷体"/>
          <w:bCs/>
          <w:color w:val="auto"/>
          <w:sz w:val="20"/>
          <w:szCs w:val="20"/>
          <w:lang w:eastAsia="zh-CN"/>
        </w:rPr>
      </w:pPr>
      <w:r>
        <w:rPr>
          <w:rFonts w:hint="eastAsia" w:ascii="华文楷体" w:hAnsi="华文楷体" w:eastAsia="华文楷体" w:cs="华文楷体"/>
          <w:bCs/>
          <w:color w:val="auto"/>
          <w:sz w:val="20"/>
          <w:szCs w:val="20"/>
        </w:rPr>
        <w:t>6.3.1以切实有效的保密措施和制度保护保密信息；</w:t>
      </w:r>
    </w:p>
    <w:p>
      <w:pPr>
        <w:spacing w:line="264" w:lineRule="auto"/>
        <w:ind w:firstLine="400" w:firstLineChars="200"/>
        <w:rPr>
          <w:rFonts w:hint="eastAsia" w:ascii="华文楷体" w:hAnsi="华文楷体" w:eastAsia="华文楷体" w:cs="华文楷体"/>
          <w:bCs/>
          <w:color w:val="auto"/>
          <w:sz w:val="20"/>
          <w:szCs w:val="20"/>
          <w:lang w:eastAsia="zh-CN"/>
        </w:rPr>
      </w:pPr>
      <w:r>
        <w:rPr>
          <w:rFonts w:hint="eastAsia" w:ascii="华文楷体" w:hAnsi="华文楷体" w:eastAsia="华文楷体" w:cs="华文楷体"/>
          <w:bCs/>
          <w:color w:val="auto"/>
          <w:sz w:val="20"/>
          <w:szCs w:val="20"/>
        </w:rPr>
        <w:t>6.3.2不得将保密信息的全部或部分以任何方式向第三方披露；</w:t>
      </w:r>
    </w:p>
    <w:p>
      <w:pPr>
        <w:spacing w:line="264" w:lineRule="auto"/>
        <w:ind w:firstLine="400" w:firstLineChars="200"/>
        <w:rPr>
          <w:rFonts w:hint="eastAsia" w:ascii="华文楷体" w:hAnsi="华文楷体" w:eastAsia="华文楷体" w:cs="华文楷体"/>
          <w:bCs/>
          <w:color w:val="auto"/>
          <w:sz w:val="20"/>
          <w:szCs w:val="20"/>
          <w:lang w:eastAsia="zh-CN"/>
        </w:rPr>
      </w:pPr>
      <w:r>
        <w:rPr>
          <w:rFonts w:hint="eastAsia" w:ascii="华文楷体" w:hAnsi="华文楷体" w:eastAsia="华文楷体" w:cs="华文楷体"/>
          <w:bCs/>
          <w:color w:val="auto"/>
          <w:sz w:val="20"/>
          <w:szCs w:val="20"/>
        </w:rPr>
        <w:t>6.3.3不得将所获悉的保密信息以任何方式用于与本委托事项无关的其他用途或目的；</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6.3.4不得以损害对方利益的方式使用保密信息。</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6.4一方未经另一方书面许可或授权同意，无论是否获益，有前款行为之一的，视为违反保密义务。</w:t>
      </w:r>
    </w:p>
    <w:p>
      <w:pPr>
        <w:spacing w:line="264" w:lineRule="auto"/>
        <w:ind w:firstLine="401" w:firstLineChars="200"/>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第七条 违约责任</w:t>
      </w:r>
    </w:p>
    <w:p>
      <w:pPr>
        <w:numPr>
          <w:ilvl w:val="0"/>
          <w:numId w:val="0"/>
        </w:numPr>
        <w:spacing w:line="264" w:lineRule="auto"/>
        <w:ind w:firstLine="400" w:firstLineChars="200"/>
        <w:rPr>
          <w:rFonts w:ascii="华文楷体" w:hAnsi="华文楷体" w:eastAsia="华文楷体" w:cs="华文楷体"/>
          <w:b/>
          <w:bCs/>
          <w:color w:val="auto"/>
          <w:sz w:val="20"/>
          <w:szCs w:val="20"/>
        </w:rPr>
      </w:pPr>
      <w:r>
        <w:rPr>
          <w:rFonts w:hint="eastAsia" w:ascii="华文楷体" w:hAnsi="华文楷体" w:eastAsia="华文楷体" w:cs="华文楷体"/>
          <w:b w:val="0"/>
          <w:bCs w:val="0"/>
          <w:color w:val="auto"/>
          <w:sz w:val="20"/>
          <w:szCs w:val="20"/>
        </w:rPr>
        <w:t>7.1</w:t>
      </w:r>
      <w:r>
        <w:rPr>
          <w:rFonts w:hint="eastAsia" w:ascii="华文楷体" w:hAnsi="华文楷体" w:eastAsia="华文楷体" w:cs="华文楷体"/>
          <w:b w:val="0"/>
          <w:bCs/>
          <w:color w:val="auto"/>
          <w:sz w:val="20"/>
          <w:szCs w:val="20"/>
        </w:rPr>
        <w:t>甲乙双方均应全面履行本合同的约定，否则即为违约，除本合同另有约定外，违约方应承担违约责任并赔偿守约方的全部损失。</w:t>
      </w:r>
    </w:p>
    <w:p>
      <w:pPr>
        <w:spacing w:line="264" w:lineRule="auto"/>
        <w:ind w:firstLine="400" w:firstLineChars="200"/>
        <w:rPr>
          <w:rFonts w:ascii="华文楷体" w:hAnsi="华文楷体" w:eastAsia="华文楷体" w:cs="华文楷体"/>
          <w:bCs/>
          <w:color w:val="auto"/>
          <w:sz w:val="20"/>
          <w:szCs w:val="20"/>
          <w:highlight w:val="none"/>
        </w:rPr>
      </w:pPr>
      <w:r>
        <w:rPr>
          <w:rFonts w:hint="eastAsia" w:ascii="华文楷体" w:hAnsi="华文楷体" w:eastAsia="华文楷体" w:cs="华文楷体"/>
          <w:bCs/>
          <w:color w:val="auto"/>
          <w:sz w:val="20"/>
          <w:szCs w:val="20"/>
          <w:highlight w:val="none"/>
        </w:rPr>
        <w:t>7.2乙方迟延交付货物的，每迟延一日应按合同总价款（如无合同总价款则按照最终结算价款总额）的</w:t>
      </w:r>
      <w:r>
        <w:rPr>
          <w:rFonts w:hint="eastAsia" w:ascii="华文楷体" w:hAnsi="华文楷体" w:eastAsia="华文楷体" w:cs="华文楷体"/>
          <w:bCs/>
          <w:color w:val="auto"/>
          <w:sz w:val="20"/>
          <w:szCs w:val="20"/>
          <w:highlight w:val="none"/>
          <w:lang w:eastAsia="zh-CN"/>
        </w:rPr>
        <w:t>万分之</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向甲方支付违约金；逾期交付超过</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日或单方停止供货达</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日的，甲方有权解除合同，</w:t>
      </w:r>
      <w:r>
        <w:rPr>
          <w:rFonts w:hint="eastAsia" w:ascii="华文楷体" w:hAnsi="华文楷体" w:eastAsia="华文楷体" w:cs="华文楷体"/>
          <w:bCs/>
          <w:color w:val="auto"/>
          <w:sz w:val="20"/>
          <w:szCs w:val="20"/>
          <w:highlight w:val="none"/>
          <w:lang w:eastAsia="zh-CN"/>
        </w:rPr>
        <w:t>甲方解除合同的，</w:t>
      </w:r>
      <w:r>
        <w:rPr>
          <w:rFonts w:hint="eastAsia" w:ascii="华文楷体" w:hAnsi="华文楷体" w:eastAsia="华文楷体" w:cs="华文楷体"/>
          <w:bCs/>
          <w:color w:val="auto"/>
          <w:sz w:val="20"/>
          <w:szCs w:val="20"/>
          <w:highlight w:val="none"/>
        </w:rPr>
        <w:t>乙方应当按合同总</w:t>
      </w:r>
      <w:r>
        <w:rPr>
          <w:rFonts w:hint="eastAsia" w:ascii="华文楷体" w:hAnsi="华文楷体" w:eastAsia="华文楷体" w:cs="华文楷体"/>
          <w:bCs/>
          <w:color w:val="auto"/>
          <w:sz w:val="20"/>
          <w:szCs w:val="20"/>
          <w:highlight w:val="none"/>
          <w:lang w:eastAsia="zh-CN"/>
        </w:rPr>
        <w:t>价款</w:t>
      </w:r>
      <w:r>
        <w:rPr>
          <w:rFonts w:hint="eastAsia" w:ascii="华文楷体" w:hAnsi="华文楷体" w:eastAsia="华文楷体" w:cs="华文楷体"/>
          <w:bCs/>
          <w:color w:val="auto"/>
          <w:sz w:val="20"/>
          <w:szCs w:val="20"/>
          <w:highlight w:val="none"/>
        </w:rPr>
        <w:t>（如无合同总价款则按照最终结算价款总额）的</w:t>
      </w:r>
      <w:r>
        <w:rPr>
          <w:rFonts w:hint="eastAsia" w:ascii="华文楷体" w:hAnsi="华文楷体" w:eastAsia="华文楷体" w:cs="华文楷体"/>
          <w:bCs/>
          <w:color w:val="auto"/>
          <w:sz w:val="20"/>
          <w:szCs w:val="20"/>
          <w:highlight w:val="none"/>
          <w:lang w:eastAsia="zh-CN"/>
        </w:rPr>
        <w:t>百分之</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rPr>
        <w:t>向甲方支付违约金。违约金不足以弥补甲方损失的，还应赔偿甲方损失。</w:t>
      </w:r>
    </w:p>
    <w:p>
      <w:pPr>
        <w:spacing w:line="264" w:lineRule="auto"/>
        <w:ind w:firstLine="400" w:firstLineChars="200"/>
        <w:jc w:val="left"/>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7.3</w:t>
      </w:r>
      <w:r>
        <w:rPr>
          <w:rFonts w:hint="default" w:ascii="华文楷体" w:hAnsi="华文楷体" w:eastAsia="华文楷体" w:cs="华文楷体"/>
          <w:bCs/>
          <w:color w:val="auto"/>
          <w:sz w:val="20"/>
          <w:szCs w:val="20"/>
          <w:lang w:val="en-US"/>
        </w:rPr>
        <w:t xml:space="preserve"> </w:t>
      </w:r>
      <w:r>
        <w:rPr>
          <w:rFonts w:hint="eastAsia" w:ascii="华文楷体" w:hAnsi="华文楷体" w:eastAsia="华文楷体" w:cs="华文楷体"/>
          <w:bCs/>
          <w:color w:val="auto"/>
          <w:sz w:val="20"/>
          <w:szCs w:val="20"/>
        </w:rPr>
        <w:t>乙方提供的产品质量</w:t>
      </w: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rPr>
        <w:t>数量等不符合合同的约定，每发生一次，乙方应按照该批次货物总价的</w:t>
      </w:r>
      <w:r>
        <w:rPr>
          <w:rFonts w:hint="eastAsia" w:ascii="华文楷体" w:hAnsi="华文楷体" w:eastAsia="华文楷体" w:cs="华文楷体"/>
          <w:bCs/>
          <w:color w:val="auto"/>
          <w:sz w:val="20"/>
          <w:szCs w:val="20"/>
          <w:lang w:eastAsia="zh-CN"/>
        </w:rPr>
        <w:t>百分之</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rPr>
        <w:t>向甲方支付违约金，同时甲方有权</w:t>
      </w:r>
      <w:r>
        <w:rPr>
          <w:rFonts w:hint="eastAsia" w:ascii="华文楷体" w:hAnsi="华文楷体" w:eastAsia="华文楷体" w:cs="华文楷体"/>
          <w:bCs/>
          <w:color w:val="auto"/>
          <w:sz w:val="20"/>
          <w:szCs w:val="20"/>
          <w:lang w:val="en-US" w:eastAsia="zh-CN"/>
        </w:rPr>
        <w:t>要求退货退款、</w:t>
      </w:r>
      <w:r>
        <w:rPr>
          <w:rFonts w:hint="eastAsia" w:ascii="华文楷体" w:hAnsi="华文楷体" w:eastAsia="华文楷体" w:cs="华文楷体"/>
          <w:bCs/>
          <w:color w:val="auto"/>
          <w:sz w:val="20"/>
          <w:szCs w:val="20"/>
        </w:rPr>
        <w:t>解除合同，违约金不足以弥补甲方损失的，还应赔偿甲方损失。</w:t>
      </w:r>
    </w:p>
    <w:p>
      <w:pPr>
        <w:spacing w:line="264" w:lineRule="auto"/>
        <w:ind w:firstLine="400" w:firstLineChars="200"/>
        <w:jc w:val="left"/>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7.</w:t>
      </w:r>
      <w:r>
        <w:rPr>
          <w:rFonts w:hint="eastAsia" w:ascii="华文楷体" w:hAnsi="华文楷体" w:eastAsia="华文楷体" w:cs="华文楷体"/>
          <w:bCs/>
          <w:color w:val="auto"/>
          <w:sz w:val="20"/>
          <w:szCs w:val="20"/>
          <w:lang w:val="en-US" w:eastAsia="zh-CN"/>
        </w:rPr>
        <w:t>4</w:t>
      </w:r>
      <w:r>
        <w:rPr>
          <w:rFonts w:hint="eastAsia" w:ascii="华文楷体" w:hAnsi="华文楷体" w:eastAsia="华文楷体" w:cs="华文楷体"/>
          <w:bCs/>
          <w:color w:val="auto"/>
          <w:sz w:val="20"/>
          <w:szCs w:val="20"/>
        </w:rPr>
        <w:t>甲方逾期付款的，每逾期一天应按逾期支付金额的</w:t>
      </w:r>
      <w:r>
        <w:rPr>
          <w:rFonts w:hint="eastAsia" w:ascii="华文楷体" w:hAnsi="华文楷体" w:eastAsia="华文楷体" w:cs="华文楷体"/>
          <w:bCs/>
          <w:color w:val="auto"/>
          <w:sz w:val="20"/>
          <w:szCs w:val="20"/>
          <w:lang w:eastAsia="zh-CN"/>
        </w:rPr>
        <w:t>万分之</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向乙方支付违约金；逾期付款超过</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rPr>
        <w:t>日的，乙方有权</w:t>
      </w:r>
      <w:r>
        <w:rPr>
          <w:rFonts w:hint="eastAsia" w:ascii="华文楷体" w:hAnsi="华文楷体" w:eastAsia="华文楷体" w:cs="华文楷体"/>
          <w:bCs/>
          <w:color w:val="auto"/>
          <w:sz w:val="20"/>
          <w:szCs w:val="20"/>
          <w:lang w:eastAsia="zh-CN"/>
        </w:rPr>
        <w:t>暂停供货、</w:t>
      </w:r>
      <w:r>
        <w:rPr>
          <w:rFonts w:hint="eastAsia" w:ascii="华文楷体" w:hAnsi="华文楷体" w:eastAsia="华文楷体" w:cs="华文楷体"/>
          <w:bCs/>
          <w:color w:val="auto"/>
          <w:sz w:val="20"/>
          <w:szCs w:val="20"/>
        </w:rPr>
        <w:t>解除合同</w:t>
      </w:r>
      <w:r>
        <w:rPr>
          <w:rFonts w:hint="eastAsia" w:ascii="华文楷体" w:hAnsi="华文楷体" w:eastAsia="华文楷体" w:cs="华文楷体"/>
          <w:color w:val="auto"/>
          <w:sz w:val="20"/>
          <w:szCs w:val="20"/>
        </w:rPr>
        <w:t>。</w:t>
      </w:r>
      <w:r>
        <w:rPr>
          <w:rFonts w:hint="eastAsia" w:ascii="华文楷体" w:hAnsi="华文楷体" w:eastAsia="华文楷体" w:cs="华文楷体"/>
          <w:bCs/>
          <w:color w:val="auto"/>
          <w:sz w:val="20"/>
          <w:szCs w:val="20"/>
        </w:rPr>
        <w:t>违约金不足以弥补乙方损失的，还应赔偿</w:t>
      </w:r>
      <w:r>
        <w:rPr>
          <w:rFonts w:hint="eastAsia" w:ascii="华文楷体" w:hAnsi="华文楷体" w:eastAsia="华文楷体" w:cs="华文楷体"/>
          <w:bCs/>
          <w:color w:val="auto"/>
          <w:sz w:val="20"/>
          <w:szCs w:val="20"/>
          <w:lang w:eastAsia="zh-CN"/>
        </w:rPr>
        <w:t>乙</w:t>
      </w:r>
      <w:r>
        <w:rPr>
          <w:rFonts w:hint="eastAsia" w:ascii="华文楷体" w:hAnsi="华文楷体" w:eastAsia="华文楷体" w:cs="华文楷体"/>
          <w:bCs/>
          <w:color w:val="auto"/>
          <w:sz w:val="20"/>
          <w:szCs w:val="20"/>
        </w:rPr>
        <w:t>方的损失。</w:t>
      </w:r>
    </w:p>
    <w:p>
      <w:pPr>
        <w:spacing w:line="264" w:lineRule="auto"/>
        <w:ind w:firstLine="400" w:firstLineChars="200"/>
        <w:rPr>
          <w:rFonts w:hint="eastAsia"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7.</w:t>
      </w:r>
      <w:r>
        <w:rPr>
          <w:rFonts w:hint="eastAsia" w:ascii="华文楷体" w:hAnsi="华文楷体" w:eastAsia="华文楷体" w:cs="华文楷体"/>
          <w:bCs/>
          <w:color w:val="auto"/>
          <w:sz w:val="20"/>
          <w:szCs w:val="20"/>
          <w:lang w:val="en-US" w:eastAsia="zh-CN"/>
        </w:rPr>
        <w:t>5</w:t>
      </w:r>
      <w:r>
        <w:rPr>
          <w:rFonts w:hint="eastAsia" w:ascii="华文楷体" w:hAnsi="华文楷体" w:eastAsia="华文楷体" w:cs="华文楷体"/>
          <w:bCs/>
          <w:color w:val="auto"/>
          <w:sz w:val="20"/>
          <w:szCs w:val="20"/>
        </w:rPr>
        <w:t>未经甲方书面同意，乙方不得将本合同债权转让给任何第三方，乙方违反本条约定擅自转让合同债权的，乙方应按双方最终结算价款总额</w:t>
      </w:r>
      <w:r>
        <w:rPr>
          <w:rFonts w:hint="eastAsia" w:ascii="华文楷体" w:hAnsi="华文楷体" w:eastAsia="华文楷体" w:cs="华文楷体"/>
          <w:bCs/>
          <w:color w:val="auto"/>
          <w:sz w:val="20"/>
          <w:szCs w:val="20"/>
          <w:lang w:eastAsia="zh-CN"/>
        </w:rPr>
        <w:t>的百分之</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rPr>
        <w:t>向甲方支付违约金。</w:t>
      </w:r>
    </w:p>
    <w:p>
      <w:pPr>
        <w:spacing w:line="264" w:lineRule="auto"/>
        <w:ind w:firstLine="400" w:firstLineChars="200"/>
        <w:jc w:val="left"/>
        <w:rPr>
          <w:rFonts w:hint="eastAsia"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7.</w:t>
      </w:r>
      <w:r>
        <w:rPr>
          <w:rFonts w:hint="eastAsia" w:ascii="华文楷体" w:hAnsi="华文楷体" w:eastAsia="华文楷体" w:cs="华文楷体"/>
          <w:bCs/>
          <w:color w:val="auto"/>
          <w:sz w:val="20"/>
          <w:szCs w:val="20"/>
          <w:lang w:val="en-US" w:eastAsia="zh-CN"/>
        </w:rPr>
        <w:t>6</w:t>
      </w:r>
      <w:r>
        <w:rPr>
          <w:rFonts w:hint="eastAsia" w:ascii="华文楷体" w:hAnsi="华文楷体" w:eastAsia="华文楷体" w:cs="华文楷体"/>
          <w:bCs/>
          <w:color w:val="auto"/>
          <w:sz w:val="20"/>
          <w:szCs w:val="20"/>
        </w:rPr>
        <w:t>任何一方违反本合同约定的保密义务，每一次/件应向对方支付违约金</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rPr>
        <w:t>元，违约金不足以弥补</w:t>
      </w:r>
      <w:r>
        <w:rPr>
          <w:rFonts w:hint="eastAsia" w:ascii="华文楷体" w:hAnsi="华文楷体" w:eastAsia="华文楷体" w:cs="华文楷体"/>
          <w:bCs/>
          <w:color w:val="auto"/>
          <w:sz w:val="20"/>
          <w:szCs w:val="20"/>
          <w:lang w:eastAsia="zh-CN"/>
        </w:rPr>
        <w:t>对</w:t>
      </w:r>
      <w:r>
        <w:rPr>
          <w:rFonts w:hint="eastAsia" w:ascii="华文楷体" w:hAnsi="华文楷体" w:eastAsia="华文楷体" w:cs="华文楷体"/>
          <w:bCs/>
          <w:color w:val="auto"/>
          <w:sz w:val="20"/>
          <w:szCs w:val="20"/>
        </w:rPr>
        <w:t>方损失的，</w:t>
      </w:r>
      <w:r>
        <w:rPr>
          <w:rFonts w:hint="eastAsia" w:ascii="华文楷体" w:hAnsi="华文楷体" w:eastAsia="华文楷体" w:cs="华文楷体"/>
          <w:bCs/>
          <w:color w:val="auto"/>
          <w:sz w:val="20"/>
          <w:szCs w:val="20"/>
          <w:lang w:eastAsia="zh-CN"/>
        </w:rPr>
        <w:t>违约</w:t>
      </w:r>
      <w:r>
        <w:rPr>
          <w:rFonts w:hint="eastAsia" w:ascii="华文楷体" w:hAnsi="华文楷体" w:eastAsia="华文楷体" w:cs="华文楷体"/>
          <w:bCs/>
          <w:color w:val="auto"/>
          <w:sz w:val="20"/>
          <w:szCs w:val="20"/>
        </w:rPr>
        <w:t>方应赔偿</w:t>
      </w:r>
      <w:r>
        <w:rPr>
          <w:rFonts w:hint="eastAsia" w:ascii="华文楷体" w:hAnsi="华文楷体" w:eastAsia="华文楷体" w:cs="华文楷体"/>
          <w:bCs/>
          <w:color w:val="auto"/>
          <w:sz w:val="20"/>
          <w:szCs w:val="20"/>
          <w:lang w:eastAsia="zh-CN"/>
        </w:rPr>
        <w:t>对</w:t>
      </w:r>
      <w:r>
        <w:rPr>
          <w:rFonts w:hint="eastAsia" w:ascii="华文楷体" w:hAnsi="华文楷体" w:eastAsia="华文楷体" w:cs="华文楷体"/>
          <w:bCs/>
          <w:color w:val="auto"/>
          <w:sz w:val="20"/>
          <w:szCs w:val="20"/>
        </w:rPr>
        <w:t>方的损失。</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7.</w:t>
      </w:r>
      <w:r>
        <w:rPr>
          <w:rFonts w:hint="eastAsia" w:ascii="华文楷体" w:hAnsi="华文楷体" w:eastAsia="华文楷体" w:cs="华文楷体"/>
          <w:bCs/>
          <w:color w:val="auto"/>
          <w:sz w:val="20"/>
          <w:szCs w:val="20"/>
          <w:lang w:val="en-US" w:eastAsia="zh-CN"/>
        </w:rPr>
        <w:t>7</w:t>
      </w:r>
      <w:r>
        <w:rPr>
          <w:rFonts w:hint="eastAsia" w:ascii="华文楷体" w:hAnsi="华文楷体" w:eastAsia="华文楷体" w:cs="华文楷体"/>
          <w:bCs/>
          <w:color w:val="auto"/>
          <w:sz w:val="20"/>
          <w:szCs w:val="20"/>
        </w:rPr>
        <w:t>其他违约责任：</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w:t>
      </w:r>
    </w:p>
    <w:p>
      <w:pPr>
        <w:spacing w:line="264" w:lineRule="auto"/>
        <w:ind w:firstLine="401" w:firstLineChars="200"/>
        <w:rPr>
          <w:rFonts w:ascii="华文楷体" w:hAnsi="华文楷体" w:eastAsia="华文楷体" w:cs="华文楷体"/>
          <w:bCs/>
          <w:color w:val="auto"/>
          <w:sz w:val="20"/>
          <w:szCs w:val="20"/>
        </w:rPr>
      </w:pPr>
      <w:r>
        <w:rPr>
          <w:rFonts w:hint="eastAsia" w:ascii="华文楷体" w:hAnsi="华文楷体" w:eastAsia="华文楷体" w:cs="华文楷体"/>
          <w:b/>
          <w:bCs/>
          <w:color w:val="auto"/>
          <w:sz w:val="20"/>
          <w:szCs w:val="20"/>
        </w:rPr>
        <w:t>第八条  合同的解除</w:t>
      </w:r>
    </w:p>
    <w:p>
      <w:pPr>
        <w:spacing w:line="264" w:lineRule="auto"/>
        <w:ind w:firstLine="400" w:firstLineChars="200"/>
        <w:rPr>
          <w:rFonts w:hint="eastAsia" w:ascii="华文楷体" w:hAnsi="华文楷体" w:eastAsia="华文楷体" w:cs="华文楷体"/>
          <w:bCs/>
          <w:color w:val="auto"/>
          <w:sz w:val="20"/>
          <w:szCs w:val="20"/>
          <w:lang w:eastAsia="zh-CN"/>
        </w:rPr>
      </w:pPr>
      <w:r>
        <w:rPr>
          <w:rFonts w:hint="eastAsia" w:ascii="华文楷体" w:hAnsi="华文楷体" w:eastAsia="华文楷体" w:cs="华文楷体"/>
          <w:bCs/>
          <w:color w:val="auto"/>
          <w:sz w:val="20"/>
          <w:szCs w:val="20"/>
        </w:rPr>
        <w:t>8.1经甲乙双方协商一致，可以解除本合同；</w:t>
      </w:r>
    </w:p>
    <w:p>
      <w:pPr>
        <w:spacing w:line="264" w:lineRule="auto"/>
        <w:ind w:firstLine="400" w:firstLineChars="200"/>
        <w:rPr>
          <w:rFonts w:hint="eastAsia" w:ascii="华文楷体" w:hAnsi="华文楷体" w:eastAsia="华文楷体" w:cs="华文楷体"/>
          <w:bCs/>
          <w:color w:val="auto"/>
          <w:sz w:val="20"/>
          <w:szCs w:val="20"/>
          <w:lang w:eastAsia="zh-CN"/>
        </w:rPr>
      </w:pPr>
      <w:r>
        <w:rPr>
          <w:rFonts w:hint="eastAsia" w:ascii="华文楷体" w:hAnsi="华文楷体" w:eastAsia="华文楷体" w:cs="华文楷体"/>
          <w:bCs/>
          <w:color w:val="auto"/>
          <w:sz w:val="20"/>
          <w:szCs w:val="20"/>
        </w:rPr>
        <w:t>8.2因不可抗力导致合同目的无法实现的，可以解除本合同；</w:t>
      </w:r>
    </w:p>
    <w:p>
      <w:pPr>
        <w:spacing w:line="264" w:lineRule="auto"/>
        <w:ind w:firstLine="400" w:firstLineChars="200"/>
        <w:rPr>
          <w:rFonts w:hint="eastAsia" w:ascii="华文楷体" w:hAnsi="华文楷体" w:eastAsia="华文楷体" w:cs="华文楷体"/>
          <w:bCs/>
          <w:color w:val="auto"/>
          <w:sz w:val="20"/>
          <w:szCs w:val="20"/>
          <w:lang w:val="en-US" w:eastAsia="zh-CN"/>
        </w:rPr>
      </w:pPr>
      <w:r>
        <w:rPr>
          <w:rFonts w:hint="eastAsia" w:ascii="华文楷体" w:hAnsi="华文楷体" w:eastAsia="华文楷体" w:cs="华文楷体"/>
          <w:bCs/>
          <w:color w:val="auto"/>
          <w:sz w:val="20"/>
          <w:szCs w:val="20"/>
        </w:rPr>
        <w:t>8.</w:t>
      </w:r>
      <w:r>
        <w:rPr>
          <w:rFonts w:hint="eastAsia" w:ascii="华文楷体" w:hAnsi="华文楷体" w:eastAsia="华文楷体" w:cs="华文楷体"/>
          <w:bCs/>
          <w:color w:val="auto"/>
          <w:sz w:val="20"/>
          <w:szCs w:val="20"/>
          <w:highlight w:val="none"/>
        </w:rPr>
        <w:t>3出现本合同约定的可以</w:t>
      </w:r>
      <w:r>
        <w:rPr>
          <w:rFonts w:hint="eastAsia" w:ascii="华文楷体" w:hAnsi="华文楷体" w:eastAsia="华文楷体" w:cs="华文楷体"/>
          <w:bCs/>
          <w:color w:val="auto"/>
          <w:sz w:val="20"/>
          <w:szCs w:val="20"/>
          <w:highlight w:val="none"/>
          <w:lang w:eastAsia="zh-CN"/>
        </w:rPr>
        <w:t>解除</w:t>
      </w:r>
      <w:r>
        <w:rPr>
          <w:rFonts w:hint="eastAsia" w:ascii="华文楷体" w:hAnsi="华文楷体" w:eastAsia="华文楷体" w:cs="华文楷体"/>
          <w:bCs/>
          <w:color w:val="auto"/>
          <w:sz w:val="20"/>
          <w:szCs w:val="20"/>
          <w:highlight w:val="none"/>
        </w:rPr>
        <w:t>合同的情形的，</w:t>
      </w:r>
      <w:r>
        <w:rPr>
          <w:rFonts w:hint="eastAsia" w:ascii="华文楷体" w:hAnsi="华文楷体" w:eastAsia="华文楷体" w:cs="华文楷体"/>
          <w:bCs/>
          <w:color w:val="auto"/>
          <w:sz w:val="20"/>
          <w:szCs w:val="20"/>
        </w:rPr>
        <w:t>可以解除本合同。</w:t>
      </w:r>
    </w:p>
    <w:p>
      <w:pPr>
        <w:spacing w:line="264" w:lineRule="auto"/>
        <w:ind w:firstLine="400" w:firstLineChars="200"/>
        <w:rPr>
          <w:rFonts w:hint="default" w:ascii="华文楷体" w:hAnsi="华文楷体" w:eastAsia="华文楷体" w:cs="华文楷体"/>
          <w:bCs/>
          <w:color w:val="auto"/>
          <w:sz w:val="20"/>
          <w:szCs w:val="20"/>
          <w:lang w:val="en-US" w:eastAsia="zh-CN"/>
        </w:rPr>
      </w:pPr>
      <w:r>
        <w:rPr>
          <w:rFonts w:hint="eastAsia" w:ascii="华文楷体" w:hAnsi="华文楷体" w:eastAsia="华文楷体" w:cs="华文楷体"/>
          <w:bCs/>
          <w:color w:val="auto"/>
          <w:sz w:val="20"/>
          <w:szCs w:val="20"/>
          <w:lang w:val="en-US" w:eastAsia="zh-CN"/>
        </w:rPr>
        <w:t>8.4可以解除合同的其他情形：</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w:t>
      </w:r>
    </w:p>
    <w:p>
      <w:pPr>
        <w:spacing w:line="264" w:lineRule="auto"/>
        <w:ind w:firstLine="401" w:firstLineChars="200"/>
        <w:rPr>
          <w:rFonts w:hint="eastAsia"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第九条</w:t>
      </w:r>
      <w:r>
        <w:rPr>
          <w:rFonts w:hint="eastAsia" w:ascii="华文楷体" w:hAnsi="华文楷体" w:eastAsia="华文楷体" w:cs="华文楷体"/>
          <w:b/>
          <w:bCs/>
          <w:color w:val="auto"/>
          <w:sz w:val="20"/>
          <w:szCs w:val="20"/>
          <w:lang w:val="en-US" w:eastAsia="zh-CN"/>
        </w:rPr>
        <w:t xml:space="preserve">  </w:t>
      </w:r>
      <w:r>
        <w:rPr>
          <w:rFonts w:hint="eastAsia" w:ascii="华文楷体" w:hAnsi="华文楷体" w:eastAsia="华文楷体" w:cs="华文楷体"/>
          <w:b/>
          <w:bCs/>
          <w:color w:val="auto"/>
          <w:sz w:val="20"/>
          <w:szCs w:val="20"/>
        </w:rPr>
        <w:t>不可抗力</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9.1在本合同履行过程中，不可抗力的范围包括：地震、台风、暴雨、火灾、战争、新冠疫情，以及其他不能预见、不能避免、不能克服的客观事件。</w:t>
      </w:r>
    </w:p>
    <w:p>
      <w:pPr>
        <w:spacing w:line="264" w:lineRule="auto"/>
        <w:ind w:firstLine="400" w:firstLineChars="200"/>
        <w:rPr>
          <w:rFonts w:ascii="华文楷体" w:hAnsi="华文楷体" w:eastAsia="华文楷体" w:cs="华文楷体"/>
          <w:bCs/>
          <w:color w:val="auto"/>
          <w:sz w:val="20"/>
          <w:szCs w:val="20"/>
        </w:rPr>
      </w:pPr>
      <w:r>
        <w:rPr>
          <w:rFonts w:hint="default" w:ascii="华文楷体" w:hAnsi="华文楷体" w:eastAsia="华文楷体" w:cs="华文楷体"/>
          <w:bCs/>
          <w:color w:val="auto"/>
          <w:sz w:val="20"/>
          <w:szCs w:val="20"/>
          <w:lang w:val="en-US"/>
        </w:rPr>
        <w:t>9.</w:t>
      </w:r>
      <w:r>
        <w:rPr>
          <w:rFonts w:hint="eastAsia" w:ascii="华文楷体" w:hAnsi="华文楷体" w:eastAsia="华文楷体" w:cs="华文楷体"/>
          <w:bCs/>
          <w:color w:val="auto"/>
          <w:sz w:val="20"/>
          <w:szCs w:val="20"/>
        </w:rPr>
        <w:t>2遇有不可抗力的一方，应立即以书面形式通知另一方，并在</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rPr>
        <w:t>日内提供不可抗力详情以及本合同不能履行或部分不能履行或者需要延期履行的理由的有效证明文件，按该不可抗力事件对履行本合同的影响程度，由双方协商决定是否解除本合同，或者部分免除履行本合同或对本合同进行变更。</w:t>
      </w:r>
    </w:p>
    <w:p>
      <w:pPr>
        <w:spacing w:line="264" w:lineRule="auto"/>
        <w:ind w:firstLine="401" w:firstLineChars="200"/>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第十条  通知与送达</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10.1双方因履行本合同发出的通知、文件、资料，均按下列地址送达：</w:t>
      </w:r>
    </w:p>
    <w:p>
      <w:pPr>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rPr>
          <w:rFonts w:ascii="华文楷体" w:hAnsi="华文楷体" w:eastAsia="华文楷体" w:cs="华文楷体"/>
          <w:bCs/>
          <w:color w:val="auto"/>
          <w:sz w:val="20"/>
          <w:szCs w:val="20"/>
          <w:highlight w:val="none"/>
        </w:rPr>
      </w:pPr>
      <w:r>
        <w:rPr>
          <w:rFonts w:hint="eastAsia" w:ascii="华文楷体" w:hAnsi="华文楷体" w:eastAsia="华文楷体" w:cs="华文楷体"/>
          <w:bCs/>
          <w:color w:val="auto"/>
          <w:sz w:val="20"/>
          <w:szCs w:val="20"/>
          <w:highlight w:val="none"/>
        </w:rPr>
        <w:t>甲方：收件人</w:t>
      </w:r>
      <w:r>
        <w:rPr>
          <w:rFonts w:hint="eastAsia" w:ascii="华文楷体" w:hAnsi="华文楷体" w:eastAsia="华文楷体" w:cs="华文楷体"/>
          <w:bCs/>
          <w:color w:val="auto"/>
          <w:sz w:val="20"/>
          <w:szCs w:val="20"/>
          <w:highlight w:val="none"/>
          <w:u w:val="single"/>
        </w:rPr>
        <w:t xml:space="preserve">  </w:t>
      </w:r>
      <w:r>
        <w:rPr>
          <w:rFonts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收件地址</w:t>
      </w:r>
      <w:r>
        <w:rPr>
          <w:rFonts w:hint="eastAsia" w:ascii="华文楷体" w:hAnsi="华文楷体" w:eastAsia="华文楷体" w:cs="华文楷体"/>
          <w:bCs/>
          <w:color w:val="auto"/>
          <w:sz w:val="20"/>
          <w:szCs w:val="20"/>
          <w:highlight w:val="none"/>
          <w:u w:val="single"/>
        </w:rPr>
        <w:t xml:space="preserve">  </w:t>
      </w:r>
      <w:r>
        <w:rPr>
          <w:rFonts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 xml:space="preserve"> 联系电话</w:t>
      </w:r>
      <w:r>
        <w:rPr>
          <w:rFonts w:hint="eastAsia" w:ascii="华文楷体" w:hAnsi="华文楷体" w:eastAsia="华文楷体" w:cs="华文楷体"/>
          <w:bCs/>
          <w:color w:val="auto"/>
          <w:sz w:val="20"/>
          <w:szCs w:val="20"/>
          <w:highlight w:val="none"/>
          <w:u w:val="single"/>
        </w:rPr>
        <w:t xml:space="preserve">  </w:t>
      </w:r>
      <w:r>
        <w:rPr>
          <w:rFonts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 xml:space="preserve">              </w:t>
      </w:r>
    </w:p>
    <w:p>
      <w:pPr>
        <w:keepNext w:val="0"/>
        <w:keepLines w:val="0"/>
        <w:pageBreakBefore w:val="0"/>
        <w:widowControl/>
        <w:kinsoku/>
        <w:wordWrap/>
        <w:overflowPunct/>
        <w:topLinePunct w:val="0"/>
        <w:autoSpaceDE/>
        <w:autoSpaceDN/>
        <w:bidi w:val="0"/>
        <w:adjustRightInd/>
        <w:snapToGrid/>
        <w:spacing w:line="264" w:lineRule="auto"/>
        <w:ind w:firstLine="400" w:firstLineChars="200"/>
        <w:textAlignment w:val="auto"/>
        <w:rPr>
          <w:rFonts w:ascii="华文楷体" w:hAnsi="华文楷体" w:eastAsia="华文楷体" w:cs="华文楷体"/>
          <w:bCs/>
          <w:color w:val="auto"/>
          <w:sz w:val="20"/>
          <w:szCs w:val="20"/>
          <w:highlight w:val="none"/>
        </w:rPr>
      </w:pPr>
      <w:r>
        <w:rPr>
          <w:rFonts w:hint="eastAsia" w:ascii="华文楷体" w:hAnsi="华文楷体" w:eastAsia="华文楷体" w:cs="华文楷体"/>
          <w:bCs/>
          <w:color w:val="auto"/>
          <w:sz w:val="20"/>
          <w:szCs w:val="20"/>
          <w:highlight w:val="none"/>
        </w:rPr>
        <w:t>乙方：收件人</w:t>
      </w:r>
      <w:r>
        <w:rPr>
          <w:rFonts w:hint="eastAsia" w:ascii="华文楷体" w:hAnsi="华文楷体" w:eastAsia="华文楷体" w:cs="华文楷体"/>
          <w:bCs/>
          <w:color w:val="auto"/>
          <w:sz w:val="20"/>
          <w:szCs w:val="20"/>
          <w:highlight w:val="none"/>
          <w:u w:val="single"/>
        </w:rPr>
        <w:t xml:space="preserve">  </w:t>
      </w:r>
      <w:r>
        <w:rPr>
          <w:rFonts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收件地址</w:t>
      </w:r>
      <w:r>
        <w:rPr>
          <w:rFonts w:hint="eastAsia" w:ascii="华文楷体" w:hAnsi="华文楷体" w:eastAsia="华文楷体" w:cs="华文楷体"/>
          <w:bCs/>
          <w:color w:val="auto"/>
          <w:sz w:val="20"/>
          <w:szCs w:val="20"/>
          <w:highlight w:val="none"/>
          <w:u w:val="single"/>
        </w:rPr>
        <w:t xml:space="preserve">  </w:t>
      </w:r>
      <w:r>
        <w:rPr>
          <w:rFonts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 xml:space="preserve"> 联系电话</w:t>
      </w:r>
      <w:r>
        <w:rPr>
          <w:rFonts w:hint="eastAsia" w:ascii="华文楷体" w:hAnsi="华文楷体" w:eastAsia="华文楷体" w:cs="华文楷体"/>
          <w:bCs/>
          <w:color w:val="auto"/>
          <w:sz w:val="20"/>
          <w:szCs w:val="20"/>
          <w:highlight w:val="none"/>
          <w:u w:val="single"/>
        </w:rPr>
        <w:t xml:space="preserve">  </w:t>
      </w:r>
      <w:r>
        <w:rPr>
          <w:rFonts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highlight w:val="none"/>
          <w:u w:val="single"/>
          <w:lang w:val="en-US" w:eastAsia="zh-CN"/>
        </w:rPr>
        <w:t xml:space="preserve">          </w:t>
      </w:r>
      <w:r>
        <w:rPr>
          <w:rFonts w:hint="eastAsia" w:ascii="华文楷体" w:hAnsi="华文楷体" w:eastAsia="华文楷体" w:cs="华文楷体"/>
          <w:bCs/>
          <w:color w:val="auto"/>
          <w:sz w:val="20"/>
          <w:szCs w:val="20"/>
          <w:highlight w:val="none"/>
        </w:rPr>
        <w:t xml:space="preserve">              </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lang w:eastAsia="zh-CN"/>
        </w:rPr>
        <w:t>甲乙双方认同在本合同中留存的联系方式为有效联系方式，</w:t>
      </w:r>
      <w:r>
        <w:rPr>
          <w:rFonts w:hint="eastAsia" w:ascii="华文楷体" w:hAnsi="华文楷体" w:eastAsia="华文楷体" w:cs="华文楷体"/>
          <w:bCs/>
          <w:color w:val="auto"/>
          <w:sz w:val="20"/>
          <w:szCs w:val="20"/>
        </w:rPr>
        <w:t>一方变更地址或联系人的，应当在变更后</w:t>
      </w:r>
      <w:r>
        <w:rPr>
          <w:rFonts w:hint="eastAsia" w:ascii="华文楷体" w:hAnsi="华文楷体" w:eastAsia="华文楷体" w:cs="华文楷体"/>
          <w:bCs/>
          <w:color w:val="auto"/>
          <w:sz w:val="20"/>
          <w:szCs w:val="20"/>
          <w:u w:val="single"/>
          <w:lang w:val="en-US" w:eastAsia="zh-CN"/>
        </w:rPr>
        <w:t xml:space="preserve">    </w:t>
      </w:r>
      <w:r>
        <w:rPr>
          <w:rFonts w:hint="eastAsia" w:ascii="华文楷体" w:hAnsi="华文楷体" w:eastAsia="华文楷体" w:cs="华文楷体"/>
          <w:bCs/>
          <w:color w:val="auto"/>
          <w:sz w:val="20"/>
          <w:szCs w:val="20"/>
        </w:rPr>
        <w:t>日内书面通知对方，否则以原地址或联系人为准。</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10.2以邮寄方式送达的，寄件人应当在邮寄详情单上注明文件名称及简要内容。</w:t>
      </w:r>
    </w:p>
    <w:p>
      <w:pPr>
        <w:spacing w:line="264" w:lineRule="auto"/>
        <w:ind w:firstLine="401" w:firstLineChars="200"/>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第十一条 争议解决方式</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本合同项下发生的争议，双方可以协商解决；双方不愿协商或者协商不成的，按照下列第</w:t>
      </w:r>
      <w:r>
        <w:rPr>
          <w:rFonts w:hint="eastAsia" w:ascii="华文楷体" w:hAnsi="华文楷体" w:eastAsia="华文楷体" w:cs="华文楷体"/>
          <w:bCs/>
          <w:color w:val="auto"/>
          <w:sz w:val="20"/>
          <w:szCs w:val="20"/>
          <w:highlight w:val="none"/>
          <w:u w:val="single"/>
        </w:rPr>
        <w:t xml:space="preserve">    </w:t>
      </w:r>
      <w:r>
        <w:rPr>
          <w:rFonts w:hint="eastAsia" w:ascii="华文楷体" w:hAnsi="华文楷体" w:eastAsia="华文楷体" w:cs="华文楷体"/>
          <w:bCs/>
          <w:color w:val="auto"/>
          <w:sz w:val="20"/>
          <w:szCs w:val="20"/>
        </w:rPr>
        <w:t>种方式解决：</w:t>
      </w:r>
    </w:p>
    <w:p>
      <w:pPr>
        <w:spacing w:line="264" w:lineRule="auto"/>
        <w:ind w:firstLine="400" w:firstLineChars="200"/>
        <w:rPr>
          <w:rFonts w:hint="eastAsia" w:ascii="华文楷体" w:hAnsi="华文楷体" w:eastAsia="华文楷体" w:cs="华文楷体"/>
          <w:bCs/>
          <w:color w:val="auto"/>
          <w:sz w:val="20"/>
          <w:szCs w:val="20"/>
          <w:lang w:eastAsia="zh-CN"/>
        </w:rPr>
      </w:pP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rPr>
        <w:t>1</w:t>
      </w: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rPr>
        <w:t>向</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人民法院提起诉讼</w:t>
      </w:r>
      <w:r>
        <w:rPr>
          <w:rFonts w:hint="eastAsia" w:ascii="华文楷体" w:hAnsi="华文楷体" w:eastAsia="华文楷体" w:cs="华文楷体"/>
          <w:bCs/>
          <w:color w:val="auto"/>
          <w:sz w:val="20"/>
          <w:szCs w:val="20"/>
          <w:lang w:eastAsia="zh-CN"/>
        </w:rPr>
        <w:t>。</w:t>
      </w:r>
    </w:p>
    <w:p>
      <w:pPr>
        <w:spacing w:line="264"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rPr>
        <w:t>2</w:t>
      </w: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rPr>
        <w:t>向</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仲裁委员会申请仲裁。</w:t>
      </w:r>
    </w:p>
    <w:p>
      <w:pPr>
        <w:spacing w:line="264" w:lineRule="auto"/>
        <w:ind w:firstLine="401" w:firstLineChars="200"/>
        <w:rPr>
          <w:rFonts w:ascii="华文楷体" w:hAnsi="华文楷体" w:eastAsia="华文楷体" w:cs="华文楷体"/>
          <w:b/>
          <w:bCs/>
          <w:color w:val="auto"/>
          <w:sz w:val="20"/>
          <w:szCs w:val="20"/>
        </w:rPr>
      </w:pPr>
      <w:r>
        <w:rPr>
          <w:rFonts w:hint="eastAsia" w:ascii="华文楷体" w:hAnsi="华文楷体" w:eastAsia="华文楷体" w:cs="华文楷体"/>
          <w:b/>
          <w:bCs/>
          <w:color w:val="auto"/>
          <w:sz w:val="20"/>
          <w:szCs w:val="20"/>
        </w:rPr>
        <w:t>第十二条 其他事项</w:t>
      </w:r>
    </w:p>
    <w:p>
      <w:pPr>
        <w:spacing w:line="264" w:lineRule="auto"/>
        <w:ind w:firstLine="400" w:firstLineChars="200"/>
        <w:rPr>
          <w:rFonts w:ascii="华文楷体" w:hAnsi="华文楷体" w:eastAsia="华文楷体" w:cs="华文仿宋"/>
          <w:bCs/>
          <w:color w:val="auto"/>
          <w:sz w:val="20"/>
          <w:szCs w:val="20"/>
        </w:rPr>
      </w:pPr>
      <w:r>
        <w:rPr>
          <w:rFonts w:hint="eastAsia" w:ascii="华文楷体" w:hAnsi="华文楷体" w:eastAsia="华文楷体" w:cs="华文仿宋"/>
          <w:bCs/>
          <w:color w:val="auto"/>
          <w:sz w:val="20"/>
          <w:szCs w:val="20"/>
        </w:rPr>
        <w:t>12.1本合同自双方签字并加盖公章之日起生效。本合同一式</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仿宋"/>
          <w:bCs/>
          <w:color w:val="auto"/>
          <w:sz w:val="20"/>
          <w:szCs w:val="20"/>
        </w:rPr>
        <w:t>份，甲方执</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仿宋"/>
          <w:bCs/>
          <w:color w:val="auto"/>
          <w:sz w:val="20"/>
          <w:szCs w:val="20"/>
        </w:rPr>
        <w:t>份，乙方执</w:t>
      </w:r>
      <w:r>
        <w:rPr>
          <w:rFonts w:hint="eastAsia" w:ascii="华文楷体" w:hAnsi="华文楷体" w:eastAsia="华文楷体" w:cs="华文楷体"/>
          <w:color w:val="auto"/>
          <w:sz w:val="20"/>
          <w:szCs w:val="20"/>
          <w:highlight w:val="none"/>
          <w:u w:val="single"/>
        </w:rPr>
        <w:t xml:space="preserve">   </w:t>
      </w:r>
      <w:r>
        <w:rPr>
          <w:rFonts w:hint="eastAsia" w:ascii="华文楷体" w:hAnsi="华文楷体" w:eastAsia="华文楷体" w:cs="华文仿宋"/>
          <w:bCs/>
          <w:color w:val="auto"/>
          <w:sz w:val="20"/>
          <w:szCs w:val="20"/>
        </w:rPr>
        <w:t>份，具有同等法律效力。</w:t>
      </w:r>
    </w:p>
    <w:p>
      <w:pPr>
        <w:spacing w:line="264" w:lineRule="auto"/>
        <w:ind w:firstLine="400" w:firstLineChars="200"/>
        <w:rPr>
          <w:rFonts w:ascii="华文楷体" w:hAnsi="华文楷体" w:eastAsia="华文楷体" w:cs="华文仿宋"/>
          <w:bCs/>
          <w:color w:val="auto"/>
          <w:sz w:val="20"/>
          <w:szCs w:val="20"/>
        </w:rPr>
      </w:pPr>
      <w:r>
        <w:rPr>
          <w:rFonts w:hint="eastAsia" w:ascii="华文楷体" w:hAnsi="华文楷体" w:eastAsia="华文楷体" w:cs="华文仿宋"/>
          <w:bCs/>
          <w:color w:val="auto"/>
          <w:sz w:val="20"/>
          <w:szCs w:val="20"/>
        </w:rPr>
        <w:t>12.2本合同未尽事宜，经双方协商一致签订补充协议。</w:t>
      </w:r>
    </w:p>
    <w:p>
      <w:pPr>
        <w:spacing w:line="264" w:lineRule="auto"/>
        <w:ind w:firstLine="400" w:firstLineChars="200"/>
        <w:rPr>
          <w:rFonts w:ascii="华文楷体" w:hAnsi="华文楷体" w:eastAsia="华文楷体" w:cs="华文仿宋"/>
          <w:bCs/>
          <w:color w:val="auto"/>
          <w:sz w:val="20"/>
          <w:szCs w:val="20"/>
        </w:rPr>
      </w:pPr>
      <w:r>
        <w:rPr>
          <w:rFonts w:hint="eastAsia" w:ascii="华文楷体" w:hAnsi="华文楷体" w:eastAsia="华文楷体" w:cs="华文仿宋"/>
          <w:bCs/>
          <w:color w:val="auto"/>
          <w:sz w:val="20"/>
          <w:szCs w:val="20"/>
        </w:rPr>
        <w:t>12.3双方应当在签订</w:t>
      </w:r>
      <w:r>
        <w:rPr>
          <w:rFonts w:hint="eastAsia" w:ascii="华文楷体" w:hAnsi="华文楷体" w:eastAsia="华文楷体" w:cs="华文仿宋"/>
          <w:bCs/>
          <w:color w:val="auto"/>
          <w:sz w:val="20"/>
          <w:szCs w:val="20"/>
          <w:lang w:eastAsia="zh-CN"/>
        </w:rPr>
        <w:t>书面</w:t>
      </w:r>
      <w:r>
        <w:rPr>
          <w:rFonts w:hint="eastAsia" w:ascii="华文楷体" w:hAnsi="华文楷体" w:eastAsia="华文楷体" w:cs="华文仿宋"/>
          <w:bCs/>
          <w:color w:val="auto"/>
          <w:sz w:val="20"/>
          <w:szCs w:val="20"/>
        </w:rPr>
        <w:t>合同时出示各自的营业执照副本，并将复印件交付对方备案。如果合同签约人不是法定代表人，应当提交授权委托书及委托代理人身份证复印件。</w:t>
      </w:r>
    </w:p>
    <w:p>
      <w:pPr>
        <w:spacing w:line="264" w:lineRule="auto"/>
        <w:ind w:firstLine="400" w:firstLineChars="200"/>
        <w:rPr>
          <w:rFonts w:ascii="仿宋_GB2312" w:eastAsia="仿宋_GB2312"/>
          <w:b/>
          <w:color w:val="auto"/>
          <w:sz w:val="24"/>
          <w:szCs w:val="24"/>
        </w:rPr>
      </w:pPr>
      <w:r>
        <w:rPr>
          <w:rFonts w:hint="eastAsia" w:ascii="华文楷体" w:hAnsi="华文楷体" w:eastAsia="华文楷体" w:cs="华文仿宋"/>
          <w:bCs/>
          <w:color w:val="auto"/>
          <w:sz w:val="20"/>
          <w:szCs w:val="20"/>
        </w:rPr>
        <w:t>12.4其他</w:t>
      </w:r>
      <w:r>
        <w:rPr>
          <w:rFonts w:hint="eastAsia" w:ascii="华文楷体" w:hAnsi="华文楷体" w:eastAsia="华文楷体" w:cs="华文仿宋"/>
          <w:bCs/>
          <w:color w:val="auto"/>
          <w:sz w:val="20"/>
          <w:szCs w:val="20"/>
          <w:lang w:eastAsia="zh-CN"/>
        </w:rPr>
        <w:t>约定</w:t>
      </w:r>
      <w:r>
        <w:rPr>
          <w:rFonts w:hint="eastAsia" w:ascii="华文楷体" w:hAnsi="华文楷体" w:eastAsia="华文楷体" w:cs="华文仿宋"/>
          <w:bCs/>
          <w:color w:val="auto"/>
          <w:sz w:val="20"/>
          <w:szCs w:val="20"/>
        </w:rPr>
        <w:t>：</w:t>
      </w:r>
      <w:r>
        <w:rPr>
          <w:rFonts w:hint="eastAsia" w:ascii="华文楷体" w:hAnsi="华文楷体" w:eastAsia="华文楷体" w:cs="华文楷体"/>
          <w:bCs/>
          <w:color w:val="auto"/>
          <w:sz w:val="20"/>
          <w:szCs w:val="20"/>
          <w:u w:val="single"/>
        </w:rPr>
        <w:t xml:space="preserve">                  </w:t>
      </w:r>
      <w:r>
        <w:rPr>
          <w:rFonts w:hint="eastAsia" w:ascii="华文楷体" w:hAnsi="华文楷体" w:eastAsia="华文楷体" w:cs="华文楷体"/>
          <w:bCs/>
          <w:color w:val="auto"/>
          <w:sz w:val="20"/>
          <w:szCs w:val="20"/>
        </w:rPr>
        <w:t>。</w:t>
      </w:r>
    </w:p>
    <w:p>
      <w:pPr>
        <w:spacing w:line="288" w:lineRule="auto"/>
        <w:ind w:firstLine="400" w:firstLineChars="200"/>
        <w:rPr>
          <w:rFonts w:ascii="华文楷体" w:hAnsi="华文楷体" w:eastAsia="华文楷体" w:cs="华文楷体"/>
          <w:color w:val="auto"/>
          <w:sz w:val="20"/>
          <w:szCs w:val="20"/>
        </w:rPr>
      </w:pPr>
    </w:p>
    <w:p>
      <w:pPr>
        <w:spacing w:line="288" w:lineRule="auto"/>
        <w:ind w:firstLine="400" w:firstLineChars="200"/>
        <w:rPr>
          <w:rFonts w:ascii="华文楷体" w:hAnsi="华文楷体" w:eastAsia="华文楷体" w:cs="华文楷体"/>
          <w:color w:val="auto"/>
          <w:sz w:val="20"/>
          <w:szCs w:val="20"/>
        </w:rPr>
      </w:pPr>
    </w:p>
    <w:p>
      <w:pPr>
        <w:spacing w:line="288" w:lineRule="auto"/>
        <w:ind w:firstLine="400" w:firstLineChars="200"/>
        <w:rPr>
          <w:rFonts w:ascii="华文楷体" w:hAnsi="华文楷体" w:eastAsia="华文楷体" w:cs="华文楷体"/>
          <w:color w:val="auto"/>
          <w:sz w:val="20"/>
          <w:szCs w:val="20"/>
        </w:rPr>
      </w:pPr>
    </w:p>
    <w:p>
      <w:pPr>
        <w:spacing w:line="288" w:lineRule="auto"/>
        <w:ind w:firstLine="400"/>
        <w:rPr>
          <w:rFonts w:ascii="华文楷体" w:hAnsi="华文楷体" w:eastAsia="华文楷体" w:cs="华文仿宋"/>
          <w:bCs/>
          <w:color w:val="auto"/>
          <w:sz w:val="20"/>
          <w:szCs w:val="20"/>
        </w:rPr>
      </w:pPr>
      <w:r>
        <w:rPr>
          <w:rFonts w:hint="eastAsia" w:ascii="华文楷体" w:hAnsi="华文楷体" w:eastAsia="华文楷体" w:cs="华文仿宋"/>
          <w:bCs/>
          <w:color w:val="auto"/>
          <w:sz w:val="20"/>
          <w:szCs w:val="20"/>
        </w:rPr>
        <w:t>（以下无正文，仅为签订信息）</w:t>
      </w:r>
    </w:p>
    <w:p>
      <w:pPr>
        <w:spacing w:line="288" w:lineRule="auto"/>
        <w:ind w:firstLine="400"/>
        <w:rPr>
          <w:rFonts w:ascii="华文楷体" w:hAnsi="华文楷体" w:eastAsia="华文楷体" w:cs="华文仿宋"/>
          <w:bCs/>
          <w:color w:val="auto"/>
          <w:sz w:val="20"/>
          <w:szCs w:val="20"/>
        </w:rPr>
      </w:pPr>
      <w:r>
        <w:rPr>
          <w:rFonts w:hint="eastAsia" w:ascii="华文楷体" w:hAnsi="华文楷体" w:eastAsia="华文楷体" w:cs="华文仿宋"/>
          <w:bCs/>
          <w:color w:val="auto"/>
          <w:sz w:val="20"/>
          <w:szCs w:val="20"/>
        </w:rPr>
        <w:t>甲方（盖章）：                    乙方（盖章）：</w:t>
      </w:r>
    </w:p>
    <w:p>
      <w:pPr>
        <w:spacing w:line="288" w:lineRule="auto"/>
        <w:ind w:firstLine="400" w:firstLineChars="200"/>
        <w:rPr>
          <w:rFonts w:hint="default" w:ascii="华文楷体" w:hAnsi="华文楷体" w:eastAsia="华文楷体" w:cs="华文楷体"/>
          <w:bCs/>
          <w:color w:val="auto"/>
          <w:sz w:val="20"/>
          <w:szCs w:val="20"/>
          <w:lang w:val="en-US" w:eastAsia="zh-CN"/>
        </w:rPr>
      </w:pPr>
      <w:r>
        <w:rPr>
          <w:rFonts w:hint="eastAsia" w:ascii="华文楷体" w:hAnsi="华文楷体" w:eastAsia="华文楷体" w:cs="华文楷体"/>
          <w:bCs/>
          <w:color w:val="auto"/>
          <w:sz w:val="20"/>
          <w:szCs w:val="20"/>
          <w:lang w:eastAsia="zh-CN"/>
        </w:rPr>
        <w:t>统一社会信用代码：</w:t>
      </w:r>
      <w:r>
        <w:rPr>
          <w:rFonts w:hint="eastAsia" w:ascii="华文楷体" w:hAnsi="华文楷体" w:eastAsia="华文楷体" w:cs="华文楷体"/>
          <w:bCs/>
          <w:color w:val="auto"/>
          <w:sz w:val="20"/>
          <w:szCs w:val="20"/>
          <w:lang w:val="en-US" w:eastAsia="zh-CN"/>
        </w:rPr>
        <w:t xml:space="preserve">                  </w:t>
      </w:r>
      <w:r>
        <w:rPr>
          <w:rFonts w:hint="eastAsia" w:ascii="华文楷体" w:hAnsi="华文楷体" w:eastAsia="华文楷体" w:cs="华文楷体"/>
          <w:bCs/>
          <w:color w:val="auto"/>
          <w:sz w:val="20"/>
          <w:szCs w:val="20"/>
          <w:lang w:eastAsia="zh-CN"/>
        </w:rPr>
        <w:t>统一社会信用代码：</w:t>
      </w:r>
    </w:p>
    <w:p>
      <w:pPr>
        <w:spacing w:line="288" w:lineRule="auto"/>
        <w:ind w:firstLine="400" w:firstLineChars="200"/>
        <w:rPr>
          <w:rFonts w:hint="default" w:ascii="华文楷体" w:hAnsi="华文楷体" w:eastAsia="华文楷体" w:cs="华文楷体"/>
          <w:bCs/>
          <w:color w:val="auto"/>
          <w:sz w:val="20"/>
          <w:szCs w:val="20"/>
          <w:lang w:val="en-US" w:eastAsia="zh-CN"/>
        </w:rPr>
      </w:pPr>
      <w:r>
        <w:rPr>
          <w:rFonts w:hint="eastAsia" w:ascii="华文楷体" w:hAnsi="华文楷体" w:eastAsia="华文楷体" w:cs="华文楷体"/>
          <w:bCs/>
          <w:color w:val="auto"/>
          <w:sz w:val="20"/>
          <w:szCs w:val="20"/>
          <w:lang w:eastAsia="zh-CN"/>
        </w:rPr>
        <w:t>法定代表人：</w:t>
      </w:r>
      <w:r>
        <w:rPr>
          <w:rFonts w:hint="eastAsia" w:ascii="华文楷体" w:hAnsi="华文楷体" w:eastAsia="华文楷体" w:cs="华文楷体"/>
          <w:bCs/>
          <w:color w:val="auto"/>
          <w:sz w:val="20"/>
          <w:szCs w:val="20"/>
          <w:lang w:val="en-US" w:eastAsia="zh-CN"/>
        </w:rPr>
        <w:t xml:space="preserve">                        </w:t>
      </w:r>
      <w:r>
        <w:rPr>
          <w:rFonts w:hint="eastAsia" w:ascii="华文楷体" w:hAnsi="华文楷体" w:eastAsia="华文楷体" w:cs="华文楷体"/>
          <w:bCs/>
          <w:color w:val="auto"/>
          <w:sz w:val="20"/>
          <w:szCs w:val="20"/>
          <w:lang w:eastAsia="zh-CN"/>
        </w:rPr>
        <w:t>法定代表人：</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电话：                              电话：</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委托代理人：                        委托代理人：</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电话：                              电话：</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传真：                              传真：</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签订时间：                          签订时间：</w:t>
      </w:r>
    </w:p>
    <w:p>
      <w:pPr>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br w:type="page"/>
      </w:r>
    </w:p>
    <w:p>
      <w:pPr>
        <w:spacing w:line="288" w:lineRule="auto"/>
        <w:ind w:firstLine="0" w:firstLineChars="0"/>
        <w:rPr>
          <w:rFonts w:hint="eastAsia" w:ascii="黑体" w:hAnsi="黑体" w:eastAsia="黑体" w:cs="黑体"/>
          <w:bCs/>
          <w:color w:val="auto"/>
          <w:sz w:val="20"/>
          <w:szCs w:val="20"/>
        </w:rPr>
      </w:pPr>
      <w:r>
        <w:rPr>
          <w:rFonts w:hint="eastAsia" w:ascii="黑体" w:hAnsi="黑体" w:eastAsia="黑体" w:cs="黑体"/>
          <w:bCs/>
          <w:color w:val="auto"/>
          <w:sz w:val="20"/>
          <w:szCs w:val="20"/>
        </w:rPr>
        <w:t>附件</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合同编号：                                           附件编号：</w:t>
      </w: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720" w:firstLineChars="200"/>
        <w:jc w:val="center"/>
        <w:rPr>
          <w:rFonts w:ascii="华文楷体" w:hAnsi="华文楷体" w:eastAsia="华文楷体" w:cs="华文楷体"/>
          <w:bCs/>
          <w:color w:val="auto"/>
          <w:sz w:val="36"/>
          <w:szCs w:val="36"/>
        </w:rPr>
      </w:pPr>
      <w:r>
        <w:rPr>
          <w:rFonts w:hint="eastAsia" w:ascii="华文楷体" w:hAnsi="华文楷体" w:eastAsia="华文楷体" w:cs="华文楷体"/>
          <w:bCs/>
          <w:color w:val="auto"/>
          <w:sz w:val="36"/>
          <w:szCs w:val="36"/>
        </w:rPr>
        <w:t>北京市预拌混凝土矿物掺合料采购合同补充协议</w:t>
      </w: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买方（甲方）：</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卖方（乙方）：</w:t>
      </w: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鉴于：甲乙双方于</w:t>
      </w:r>
      <w:r>
        <w:rPr>
          <w:rFonts w:hint="eastAsia" w:ascii="华文楷体" w:hAnsi="华文楷体" w:eastAsia="华文楷体" w:cs="华文楷体"/>
          <w:bCs/>
          <w:color w:val="auto"/>
          <w:sz w:val="20"/>
          <w:szCs w:val="20"/>
          <w:u w:val="single"/>
          <w:lang w:val="en-US" w:eastAsia="zh-CN"/>
        </w:rPr>
        <w:t xml:space="preserve">   </w:t>
      </w:r>
      <w:r>
        <w:rPr>
          <w:rFonts w:hint="eastAsia" w:ascii="华文楷体" w:hAnsi="华文楷体" w:eastAsia="华文楷体" w:cs="华文楷体"/>
          <w:bCs/>
          <w:color w:val="auto"/>
          <w:sz w:val="20"/>
          <w:szCs w:val="20"/>
        </w:rPr>
        <w:t>年</w:t>
      </w:r>
      <w:r>
        <w:rPr>
          <w:rFonts w:hint="eastAsia" w:ascii="华文楷体" w:hAnsi="华文楷体" w:eastAsia="华文楷体" w:cs="华文楷体"/>
          <w:bCs/>
          <w:color w:val="auto"/>
          <w:sz w:val="20"/>
          <w:szCs w:val="20"/>
          <w:u w:val="single"/>
          <w:lang w:val="en-US" w:eastAsia="zh-CN"/>
        </w:rPr>
        <w:t xml:space="preserve">   </w:t>
      </w:r>
      <w:r>
        <w:rPr>
          <w:rFonts w:hint="eastAsia" w:ascii="华文楷体" w:hAnsi="华文楷体" w:eastAsia="华文楷体" w:cs="华文楷体"/>
          <w:bCs/>
          <w:color w:val="auto"/>
          <w:sz w:val="20"/>
          <w:szCs w:val="20"/>
        </w:rPr>
        <w:t>月</w:t>
      </w:r>
      <w:r>
        <w:rPr>
          <w:rFonts w:hint="eastAsia" w:ascii="华文楷体" w:hAnsi="华文楷体" w:eastAsia="华文楷体" w:cs="华文楷体"/>
          <w:bCs/>
          <w:color w:val="auto"/>
          <w:sz w:val="20"/>
          <w:szCs w:val="20"/>
          <w:u w:val="single"/>
          <w:lang w:val="en-US" w:eastAsia="zh-CN"/>
        </w:rPr>
        <w:t xml:space="preserve">   </w:t>
      </w:r>
      <w:r>
        <w:rPr>
          <w:rFonts w:hint="eastAsia" w:ascii="华文楷体" w:hAnsi="华文楷体" w:eastAsia="华文楷体" w:cs="华文楷体"/>
          <w:bCs/>
          <w:color w:val="auto"/>
          <w:sz w:val="20"/>
          <w:szCs w:val="20"/>
        </w:rPr>
        <w:t>日签订编号为</w:t>
      </w: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u w:val="single"/>
          <w:lang w:val="en-US" w:eastAsia="zh-CN"/>
        </w:rPr>
        <w:t xml:space="preserve">          </w:t>
      </w:r>
      <w:r>
        <w:rPr>
          <w:rFonts w:hint="eastAsia" w:ascii="华文楷体" w:hAnsi="华文楷体" w:eastAsia="华文楷体" w:cs="华文楷体"/>
          <w:bCs/>
          <w:color w:val="auto"/>
          <w:sz w:val="20"/>
          <w:szCs w:val="20"/>
          <w:lang w:val="en-US" w:eastAsia="zh-CN"/>
        </w:rPr>
        <w:t xml:space="preserve"> </w:t>
      </w:r>
      <w:r>
        <w:rPr>
          <w:rFonts w:hint="eastAsia" w:ascii="华文楷体" w:hAnsi="华文楷体" w:eastAsia="华文楷体" w:cs="华文楷体"/>
          <w:bCs/>
          <w:color w:val="auto"/>
          <w:sz w:val="20"/>
          <w:szCs w:val="20"/>
        </w:rPr>
        <w:t>的《北京市预拌混凝土矿物掺合料采购合同》，双方本着互利互惠原则，经友好协商，就《北京市预拌混凝土矿物掺合料采购合同》中未尽事项特订立以下补充协议，具体内容如下：</w:t>
      </w:r>
    </w:p>
    <w:p>
      <w:pPr>
        <w:spacing w:line="288" w:lineRule="auto"/>
        <w:ind w:firstLine="400" w:firstLineChars="200"/>
        <w:rPr>
          <w:rFonts w:hint="default" w:ascii="华文楷体" w:hAnsi="华文楷体" w:eastAsia="华文楷体" w:cs="华文楷体"/>
          <w:bCs/>
          <w:color w:val="auto"/>
          <w:sz w:val="20"/>
          <w:szCs w:val="20"/>
          <w:u w:val="single"/>
          <w:lang w:val="en-US" w:eastAsia="zh-CN"/>
        </w:rPr>
      </w:pPr>
      <w:r>
        <w:rPr>
          <w:rFonts w:hint="eastAsia" w:ascii="华文楷体" w:hAnsi="华文楷体" w:eastAsia="华文楷体" w:cs="华文楷体"/>
          <w:bCs/>
          <w:color w:val="auto"/>
          <w:sz w:val="20"/>
          <w:szCs w:val="20"/>
          <w:u w:val="single"/>
          <w:lang w:val="en-US" w:eastAsia="zh-CN"/>
        </w:rPr>
        <w:t xml:space="preserve">                                                                                </w:t>
      </w:r>
    </w:p>
    <w:p>
      <w:pPr>
        <w:spacing w:line="288" w:lineRule="auto"/>
        <w:ind w:firstLine="400" w:firstLineChars="200"/>
        <w:rPr>
          <w:rFonts w:hint="default" w:ascii="华文楷体" w:hAnsi="华文楷体" w:eastAsia="华文楷体" w:cs="华文楷体"/>
          <w:bCs/>
          <w:color w:val="auto"/>
          <w:sz w:val="20"/>
          <w:szCs w:val="20"/>
          <w:lang w:val="en-US" w:eastAsia="zh-CN"/>
        </w:rPr>
      </w:pPr>
      <w:r>
        <w:rPr>
          <w:rFonts w:hint="eastAsia" w:ascii="华文楷体" w:hAnsi="华文楷体" w:eastAsia="华文楷体" w:cs="华文楷体"/>
          <w:bCs/>
          <w:color w:val="auto"/>
          <w:sz w:val="20"/>
          <w:szCs w:val="20"/>
          <w:u w:val="single"/>
          <w:lang w:val="en-US" w:eastAsia="zh-CN"/>
        </w:rPr>
        <w:t xml:space="preserve">                                                                                </w:t>
      </w: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lang w:val="en-US" w:eastAsia="zh-CN"/>
        </w:rPr>
        <w:t>本协议</w:t>
      </w:r>
      <w:r>
        <w:rPr>
          <w:rFonts w:hint="eastAsia" w:ascii="华文楷体" w:hAnsi="华文楷体" w:eastAsia="华文楷体" w:cs="华文楷体"/>
          <w:bCs/>
          <w:color w:val="auto"/>
          <w:sz w:val="20"/>
          <w:szCs w:val="20"/>
        </w:rPr>
        <w:t>自双方签字</w:t>
      </w:r>
      <w:r>
        <w:rPr>
          <w:rFonts w:hint="eastAsia" w:ascii="华文楷体" w:hAnsi="华文楷体" w:eastAsia="华文楷体" w:cs="华文楷体"/>
          <w:bCs/>
          <w:color w:val="auto"/>
          <w:sz w:val="20"/>
          <w:szCs w:val="20"/>
          <w:lang w:eastAsia="zh-CN"/>
        </w:rPr>
        <w:t>、</w:t>
      </w:r>
      <w:r>
        <w:rPr>
          <w:rFonts w:hint="eastAsia" w:ascii="华文楷体" w:hAnsi="华文楷体" w:eastAsia="华文楷体" w:cs="华文楷体"/>
          <w:bCs/>
          <w:color w:val="auto"/>
          <w:sz w:val="20"/>
          <w:szCs w:val="20"/>
        </w:rPr>
        <w:t>盖章之日起生效。本协议一式   份，甲方执   份，乙方执   份，具有同等法律效力。本协议与原合同不一致的，以本协议为准；本协议未涉及的事宜仍按原合同的约定执行。</w:t>
      </w: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买方（甲方）：（盖章）                卖方（乙方）：（盖章）</w:t>
      </w: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委托代理人：                        委托代理人：</w:t>
      </w:r>
    </w:p>
    <w:p>
      <w:pPr>
        <w:spacing w:line="288" w:lineRule="auto"/>
        <w:ind w:firstLine="400" w:firstLineChars="200"/>
        <w:rPr>
          <w:rFonts w:ascii="华文楷体" w:hAnsi="华文楷体" w:eastAsia="华文楷体" w:cs="华文楷体"/>
          <w:bCs/>
          <w:color w:val="auto"/>
          <w:sz w:val="20"/>
          <w:szCs w:val="20"/>
        </w:rPr>
      </w:pPr>
    </w:p>
    <w:p>
      <w:pPr>
        <w:spacing w:line="288" w:lineRule="auto"/>
        <w:ind w:firstLine="400" w:firstLineChars="200"/>
        <w:rPr>
          <w:rFonts w:ascii="华文楷体" w:hAnsi="华文楷体" w:eastAsia="华文楷体" w:cs="华文楷体"/>
          <w:bCs/>
          <w:color w:val="auto"/>
          <w:sz w:val="20"/>
          <w:szCs w:val="20"/>
        </w:rPr>
      </w:pPr>
      <w:r>
        <w:rPr>
          <w:rFonts w:hint="eastAsia" w:ascii="华文楷体" w:hAnsi="华文楷体" w:eastAsia="华文楷体" w:cs="华文楷体"/>
          <w:bCs/>
          <w:color w:val="auto"/>
          <w:sz w:val="20"/>
          <w:szCs w:val="20"/>
        </w:rPr>
        <w:t xml:space="preserve">签订时间：                           签订时间： </w:t>
      </w:r>
    </w:p>
    <w:sectPr>
      <w:footerReference r:id="rId4" w:type="first"/>
      <w:footerReference r:id="rId3" w:type="default"/>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楷体">
    <w:altName w:val="方正楷体_GBK"/>
    <w:panose1 w:val="02010600040101010101"/>
    <w:charset w:val="00"/>
    <w:family w:val="auto"/>
    <w:pitch w:val="default"/>
    <w:sig w:usb0="00000000" w:usb1="00000000" w:usb2="00000010" w:usb3="00000000" w:csb0="0004009F" w:csb1="00000000"/>
  </w:font>
  <w:font w:name="华文仿宋">
    <w:altName w:val="汉仪仿宋简"/>
    <w:panose1 w:val="02010600040101010101"/>
    <w:charset w:val="00"/>
    <w:family w:val="auto"/>
    <w:pitch w:val="default"/>
    <w:sig w:usb0="00000000" w:usb1="00000000" w:usb2="00000010" w:usb3="00000000" w:csb0="000400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y1u5d9AAAAACAQAADwAAAAAAAAABACAAAAA4AAAA&#10;ZHJzL2Rvd25yZXYueG1sUEsBAhQAFAAAAAgAh07iQHcMlv35AQAAzgMAAA4AAAAAAAAAAQAgAAAA&#10;NQEAAGRycy9lMm9Eb2MueG1sUEsFBgAAAAAGAAYAWQEAAKAFAAAAAA==&#10;">
              <v:fill on="f" focussize="0,0"/>
              <v:stroke on="f"/>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C35DDC"/>
    <w:multiLevelType w:val="singleLevel"/>
    <w:tmpl w:val="7FC35DDC"/>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1" w:cryptProviderType="rsaFull" w:cryptAlgorithmClass="hash" w:cryptAlgorithmType="typeAny" w:cryptAlgorithmSid="4" w:cryptSpinCount="0" w:hash="H3NLYu9ohW9uMEotJzKXAtRq22w=" w:salt="ACb8ZdQBs35iyZJSVnedZw=="/>
  <w:defaultTabStop w:val="420"/>
  <w:hyphenationZone w:val="360"/>
  <w:displayHorizontalDrawingGridEvery w:val="1"/>
  <w:displayVerticalDrawingGridEvery w:val="1"/>
  <w:noPunctuationKerning w:val="true"/>
  <w:characterSpacingControl w:val="compressPunctuation"/>
  <w:hdrShapeDefaults>
    <o:shapelayout v:ext="edit">
      <o:idmap v:ext="edit" data="1"/>
    </o:shapelayout>
  </w:hdrShapeDefaults>
  <w:compat>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FA"/>
    <w:rsid w:val="00020B98"/>
    <w:rsid w:val="0002140B"/>
    <w:rsid w:val="000307F8"/>
    <w:rsid w:val="00031829"/>
    <w:rsid w:val="000716E4"/>
    <w:rsid w:val="000C7F68"/>
    <w:rsid w:val="000D418D"/>
    <w:rsid w:val="000E093C"/>
    <w:rsid w:val="000F1707"/>
    <w:rsid w:val="000F68A5"/>
    <w:rsid w:val="000F6D4B"/>
    <w:rsid w:val="001004E0"/>
    <w:rsid w:val="00100F21"/>
    <w:rsid w:val="00143661"/>
    <w:rsid w:val="00153CF2"/>
    <w:rsid w:val="00167BB7"/>
    <w:rsid w:val="00173BE7"/>
    <w:rsid w:val="00187429"/>
    <w:rsid w:val="00193442"/>
    <w:rsid w:val="00195F17"/>
    <w:rsid w:val="00197CBE"/>
    <w:rsid w:val="001A6A1B"/>
    <w:rsid w:val="001B0DF3"/>
    <w:rsid w:val="001B4E99"/>
    <w:rsid w:val="001E50D6"/>
    <w:rsid w:val="001E7E9D"/>
    <w:rsid w:val="001F0DAB"/>
    <w:rsid w:val="00207CE6"/>
    <w:rsid w:val="00297AC1"/>
    <w:rsid w:val="003148FF"/>
    <w:rsid w:val="00322B2C"/>
    <w:rsid w:val="00322D04"/>
    <w:rsid w:val="0036453F"/>
    <w:rsid w:val="003764A1"/>
    <w:rsid w:val="00380A11"/>
    <w:rsid w:val="0039754B"/>
    <w:rsid w:val="003A4226"/>
    <w:rsid w:val="003C36B3"/>
    <w:rsid w:val="004319D4"/>
    <w:rsid w:val="00447989"/>
    <w:rsid w:val="00453005"/>
    <w:rsid w:val="00465548"/>
    <w:rsid w:val="004D41EC"/>
    <w:rsid w:val="00521C0B"/>
    <w:rsid w:val="00531D41"/>
    <w:rsid w:val="00561AFB"/>
    <w:rsid w:val="00571DE5"/>
    <w:rsid w:val="00574BC5"/>
    <w:rsid w:val="00575E31"/>
    <w:rsid w:val="00587310"/>
    <w:rsid w:val="005C2094"/>
    <w:rsid w:val="005E3208"/>
    <w:rsid w:val="005E5010"/>
    <w:rsid w:val="005F03C1"/>
    <w:rsid w:val="005F18EB"/>
    <w:rsid w:val="0060535A"/>
    <w:rsid w:val="00605E9D"/>
    <w:rsid w:val="006276E9"/>
    <w:rsid w:val="006377D7"/>
    <w:rsid w:val="00654726"/>
    <w:rsid w:val="00674440"/>
    <w:rsid w:val="00685E39"/>
    <w:rsid w:val="00696C25"/>
    <w:rsid w:val="006E7779"/>
    <w:rsid w:val="006F3987"/>
    <w:rsid w:val="00705052"/>
    <w:rsid w:val="00706A1F"/>
    <w:rsid w:val="00736CA6"/>
    <w:rsid w:val="00753A86"/>
    <w:rsid w:val="00777A71"/>
    <w:rsid w:val="0078745A"/>
    <w:rsid w:val="007A070B"/>
    <w:rsid w:val="007A5CAB"/>
    <w:rsid w:val="007C7D19"/>
    <w:rsid w:val="00811F1A"/>
    <w:rsid w:val="0083700A"/>
    <w:rsid w:val="008574D8"/>
    <w:rsid w:val="008A44BA"/>
    <w:rsid w:val="008B4E9D"/>
    <w:rsid w:val="008F65BB"/>
    <w:rsid w:val="009147BD"/>
    <w:rsid w:val="00944ED1"/>
    <w:rsid w:val="00956A14"/>
    <w:rsid w:val="00957D48"/>
    <w:rsid w:val="009C5EE7"/>
    <w:rsid w:val="009E42B0"/>
    <w:rsid w:val="00A36BE8"/>
    <w:rsid w:val="00A565DF"/>
    <w:rsid w:val="00A606C9"/>
    <w:rsid w:val="00A75EB8"/>
    <w:rsid w:val="00A76726"/>
    <w:rsid w:val="00A86588"/>
    <w:rsid w:val="00A963DA"/>
    <w:rsid w:val="00AB2412"/>
    <w:rsid w:val="00AB55BF"/>
    <w:rsid w:val="00AF60F1"/>
    <w:rsid w:val="00B049C6"/>
    <w:rsid w:val="00B1008A"/>
    <w:rsid w:val="00B21A97"/>
    <w:rsid w:val="00B97893"/>
    <w:rsid w:val="00BB1ECB"/>
    <w:rsid w:val="00BB48B1"/>
    <w:rsid w:val="00BD4E54"/>
    <w:rsid w:val="00BE1A9F"/>
    <w:rsid w:val="00BE3175"/>
    <w:rsid w:val="00C22BA4"/>
    <w:rsid w:val="00C84317"/>
    <w:rsid w:val="00CA5CE5"/>
    <w:rsid w:val="00CC0A1D"/>
    <w:rsid w:val="00CE4977"/>
    <w:rsid w:val="00CE4F94"/>
    <w:rsid w:val="00CE6571"/>
    <w:rsid w:val="00D00E31"/>
    <w:rsid w:val="00D162F8"/>
    <w:rsid w:val="00D21A32"/>
    <w:rsid w:val="00D46EFA"/>
    <w:rsid w:val="00D50CAA"/>
    <w:rsid w:val="00D569BF"/>
    <w:rsid w:val="00DB30B2"/>
    <w:rsid w:val="00DC5BE3"/>
    <w:rsid w:val="00DD6B3D"/>
    <w:rsid w:val="00DE7186"/>
    <w:rsid w:val="00E019B8"/>
    <w:rsid w:val="00E309E5"/>
    <w:rsid w:val="00E35621"/>
    <w:rsid w:val="00E80963"/>
    <w:rsid w:val="00E8799A"/>
    <w:rsid w:val="00E948CB"/>
    <w:rsid w:val="00EA2FA7"/>
    <w:rsid w:val="00EB5D44"/>
    <w:rsid w:val="00ED7BE0"/>
    <w:rsid w:val="00F124DD"/>
    <w:rsid w:val="00F5106B"/>
    <w:rsid w:val="00F83716"/>
    <w:rsid w:val="00FE14C4"/>
    <w:rsid w:val="03457CFC"/>
    <w:rsid w:val="04830723"/>
    <w:rsid w:val="0583556D"/>
    <w:rsid w:val="05F11F64"/>
    <w:rsid w:val="08052C30"/>
    <w:rsid w:val="0AB74A61"/>
    <w:rsid w:val="0B9308C4"/>
    <w:rsid w:val="0D584ACF"/>
    <w:rsid w:val="0E7F1558"/>
    <w:rsid w:val="0EFE5203"/>
    <w:rsid w:val="10135C0E"/>
    <w:rsid w:val="15A52F78"/>
    <w:rsid w:val="16551BAC"/>
    <w:rsid w:val="16CA6BE3"/>
    <w:rsid w:val="179C11B3"/>
    <w:rsid w:val="19197809"/>
    <w:rsid w:val="1A04705B"/>
    <w:rsid w:val="1BDC53A9"/>
    <w:rsid w:val="1C045403"/>
    <w:rsid w:val="1D0F39CD"/>
    <w:rsid w:val="1ED35160"/>
    <w:rsid w:val="1FF9BC03"/>
    <w:rsid w:val="1FFC80DA"/>
    <w:rsid w:val="20F62510"/>
    <w:rsid w:val="21C61A9E"/>
    <w:rsid w:val="22947F00"/>
    <w:rsid w:val="2432742D"/>
    <w:rsid w:val="244B3825"/>
    <w:rsid w:val="25C20F28"/>
    <w:rsid w:val="27BDB5E3"/>
    <w:rsid w:val="29192F0D"/>
    <w:rsid w:val="2B73EEFA"/>
    <w:rsid w:val="2BFEFCAC"/>
    <w:rsid w:val="2D2307FE"/>
    <w:rsid w:val="2D5E35E4"/>
    <w:rsid w:val="2DCF606F"/>
    <w:rsid w:val="2DE734CD"/>
    <w:rsid w:val="2EA9604E"/>
    <w:rsid w:val="307C099F"/>
    <w:rsid w:val="3258112B"/>
    <w:rsid w:val="3271058B"/>
    <w:rsid w:val="327251D1"/>
    <w:rsid w:val="334515C0"/>
    <w:rsid w:val="33651D8F"/>
    <w:rsid w:val="33FEB36D"/>
    <w:rsid w:val="340A18D4"/>
    <w:rsid w:val="356836C4"/>
    <w:rsid w:val="35942857"/>
    <w:rsid w:val="36712A9F"/>
    <w:rsid w:val="36AD2EE7"/>
    <w:rsid w:val="39EE97E2"/>
    <w:rsid w:val="3A5FD5D4"/>
    <w:rsid w:val="3B9B84E3"/>
    <w:rsid w:val="3BFBF945"/>
    <w:rsid w:val="3CFD2EE9"/>
    <w:rsid w:val="3E13528B"/>
    <w:rsid w:val="3E273466"/>
    <w:rsid w:val="3ED25E53"/>
    <w:rsid w:val="3F3A2CB9"/>
    <w:rsid w:val="41602E78"/>
    <w:rsid w:val="41EF460B"/>
    <w:rsid w:val="4333416B"/>
    <w:rsid w:val="434A1377"/>
    <w:rsid w:val="44093E52"/>
    <w:rsid w:val="44FC5F61"/>
    <w:rsid w:val="45AB0B50"/>
    <w:rsid w:val="45F9B99B"/>
    <w:rsid w:val="46127211"/>
    <w:rsid w:val="48BB76E5"/>
    <w:rsid w:val="49667651"/>
    <w:rsid w:val="4ACB2CF2"/>
    <w:rsid w:val="4ADC3662"/>
    <w:rsid w:val="4B000643"/>
    <w:rsid w:val="4B446F8B"/>
    <w:rsid w:val="4BFF2315"/>
    <w:rsid w:val="4C69696A"/>
    <w:rsid w:val="4D8B0861"/>
    <w:rsid w:val="4E5C48FB"/>
    <w:rsid w:val="4EDF237F"/>
    <w:rsid w:val="50B74C36"/>
    <w:rsid w:val="56E63355"/>
    <w:rsid w:val="56E7E264"/>
    <w:rsid w:val="57E67801"/>
    <w:rsid w:val="57ED894A"/>
    <w:rsid w:val="58B830AA"/>
    <w:rsid w:val="58E6A026"/>
    <w:rsid w:val="599EB7AA"/>
    <w:rsid w:val="59C138FC"/>
    <w:rsid w:val="59FF00E7"/>
    <w:rsid w:val="5BB61F2E"/>
    <w:rsid w:val="5FA80E7B"/>
    <w:rsid w:val="5FAD0A6F"/>
    <w:rsid w:val="5FFE378A"/>
    <w:rsid w:val="60EC4488"/>
    <w:rsid w:val="612E37C4"/>
    <w:rsid w:val="63A60EB9"/>
    <w:rsid w:val="63EC2206"/>
    <w:rsid w:val="63F78DEE"/>
    <w:rsid w:val="656D401C"/>
    <w:rsid w:val="65840ECE"/>
    <w:rsid w:val="65B35574"/>
    <w:rsid w:val="65BB10AC"/>
    <w:rsid w:val="671273F1"/>
    <w:rsid w:val="67485F6A"/>
    <w:rsid w:val="675359B3"/>
    <w:rsid w:val="67BAE4A6"/>
    <w:rsid w:val="67BF726C"/>
    <w:rsid w:val="67EE9914"/>
    <w:rsid w:val="67FF0F45"/>
    <w:rsid w:val="6BEA7280"/>
    <w:rsid w:val="6BEF3CCB"/>
    <w:rsid w:val="6BF32B6E"/>
    <w:rsid w:val="6CFFFA53"/>
    <w:rsid w:val="6D6F32FD"/>
    <w:rsid w:val="6DDA2C45"/>
    <w:rsid w:val="6DE5298B"/>
    <w:rsid w:val="6DFE219C"/>
    <w:rsid w:val="6E7E4186"/>
    <w:rsid w:val="6EB59973"/>
    <w:rsid w:val="6ED7426E"/>
    <w:rsid w:val="6F93542C"/>
    <w:rsid w:val="6FF5A670"/>
    <w:rsid w:val="6FFF43B2"/>
    <w:rsid w:val="705D7F36"/>
    <w:rsid w:val="709B37D5"/>
    <w:rsid w:val="71295343"/>
    <w:rsid w:val="72253A4E"/>
    <w:rsid w:val="72963F16"/>
    <w:rsid w:val="73F47A4E"/>
    <w:rsid w:val="74FD6676"/>
    <w:rsid w:val="75BD5DC6"/>
    <w:rsid w:val="765775DC"/>
    <w:rsid w:val="76B5985F"/>
    <w:rsid w:val="76FEEB33"/>
    <w:rsid w:val="774FB056"/>
    <w:rsid w:val="77516537"/>
    <w:rsid w:val="777788D7"/>
    <w:rsid w:val="77AF0826"/>
    <w:rsid w:val="77B362C8"/>
    <w:rsid w:val="77ED7463"/>
    <w:rsid w:val="77FF2B8D"/>
    <w:rsid w:val="78CA7850"/>
    <w:rsid w:val="78DF5AC4"/>
    <w:rsid w:val="78FED8E8"/>
    <w:rsid w:val="79B749F1"/>
    <w:rsid w:val="7ACFFC50"/>
    <w:rsid w:val="7B6B5075"/>
    <w:rsid w:val="7B76891E"/>
    <w:rsid w:val="7B7A96D3"/>
    <w:rsid w:val="7B7BB515"/>
    <w:rsid w:val="7BCE9FD6"/>
    <w:rsid w:val="7BDD7EFE"/>
    <w:rsid w:val="7BEB4E38"/>
    <w:rsid w:val="7BFCC924"/>
    <w:rsid w:val="7CED851F"/>
    <w:rsid w:val="7D5316BF"/>
    <w:rsid w:val="7DAE1F01"/>
    <w:rsid w:val="7DBD3D00"/>
    <w:rsid w:val="7DD16CF8"/>
    <w:rsid w:val="7DFF0905"/>
    <w:rsid w:val="7E2EED14"/>
    <w:rsid w:val="7E3FF2CE"/>
    <w:rsid w:val="7E58643E"/>
    <w:rsid w:val="7E6AD87F"/>
    <w:rsid w:val="7EED38B2"/>
    <w:rsid w:val="7F7B6CAB"/>
    <w:rsid w:val="7F7FFA56"/>
    <w:rsid w:val="7F9D5D21"/>
    <w:rsid w:val="7FB29296"/>
    <w:rsid w:val="7FBC5D89"/>
    <w:rsid w:val="7FBFAE09"/>
    <w:rsid w:val="7FF0E4C3"/>
    <w:rsid w:val="7FF88767"/>
    <w:rsid w:val="7FFA2A1F"/>
    <w:rsid w:val="7FFD2E30"/>
    <w:rsid w:val="7FFDC119"/>
    <w:rsid w:val="7FFFEC19"/>
    <w:rsid w:val="8ADFBDE9"/>
    <w:rsid w:val="9D175489"/>
    <w:rsid w:val="9E77E7D9"/>
    <w:rsid w:val="9FF74240"/>
    <w:rsid w:val="AADE5EF9"/>
    <w:rsid w:val="AEDFED53"/>
    <w:rsid w:val="AFEB288D"/>
    <w:rsid w:val="AFF98063"/>
    <w:rsid w:val="B7627A66"/>
    <w:rsid w:val="B797AFB6"/>
    <w:rsid w:val="BB0BBB82"/>
    <w:rsid w:val="BBFAF881"/>
    <w:rsid w:val="BD6CE5CB"/>
    <w:rsid w:val="BDCE798F"/>
    <w:rsid w:val="BDDA1122"/>
    <w:rsid w:val="BDEF7969"/>
    <w:rsid w:val="BDEF8B30"/>
    <w:rsid w:val="BDFA86AA"/>
    <w:rsid w:val="BE7FA228"/>
    <w:rsid w:val="BED32ABE"/>
    <w:rsid w:val="BFBBD14F"/>
    <w:rsid w:val="BFCFF3C0"/>
    <w:rsid w:val="C1FDB69E"/>
    <w:rsid w:val="CA63FD15"/>
    <w:rsid w:val="CF756A88"/>
    <w:rsid w:val="D4FB54C9"/>
    <w:rsid w:val="D5E7F0D3"/>
    <w:rsid w:val="D70F3C5B"/>
    <w:rsid w:val="D7359446"/>
    <w:rsid w:val="D7D7FC5D"/>
    <w:rsid w:val="D7EFF66D"/>
    <w:rsid w:val="DA376411"/>
    <w:rsid w:val="DBBDE96F"/>
    <w:rsid w:val="DBF75860"/>
    <w:rsid w:val="DDFA7805"/>
    <w:rsid w:val="DE9EADF8"/>
    <w:rsid w:val="DEFED40A"/>
    <w:rsid w:val="E2F6E802"/>
    <w:rsid w:val="E3FF2A09"/>
    <w:rsid w:val="EBE9DA75"/>
    <w:rsid w:val="EBF7C636"/>
    <w:rsid w:val="EBFE6D95"/>
    <w:rsid w:val="ED7854B8"/>
    <w:rsid w:val="ED7DF788"/>
    <w:rsid w:val="EDDFD795"/>
    <w:rsid w:val="EDFD42E6"/>
    <w:rsid w:val="EF7D7D72"/>
    <w:rsid w:val="EFAEE4D9"/>
    <w:rsid w:val="EFCFBA4F"/>
    <w:rsid w:val="F1DFA40B"/>
    <w:rsid w:val="F33D72D2"/>
    <w:rsid w:val="F3DA595E"/>
    <w:rsid w:val="F5D75DD5"/>
    <w:rsid w:val="F7BDD454"/>
    <w:rsid w:val="F7D7E40F"/>
    <w:rsid w:val="F8670B35"/>
    <w:rsid w:val="F8DC0D40"/>
    <w:rsid w:val="F8FEA100"/>
    <w:rsid w:val="FA6DC0A3"/>
    <w:rsid w:val="FAD7B788"/>
    <w:rsid w:val="FB7F474E"/>
    <w:rsid w:val="FB7FF744"/>
    <w:rsid w:val="FBB14B42"/>
    <w:rsid w:val="FBE11785"/>
    <w:rsid w:val="FBEC8B0E"/>
    <w:rsid w:val="FBFB38DC"/>
    <w:rsid w:val="FBFBA348"/>
    <w:rsid w:val="FBFF2C7C"/>
    <w:rsid w:val="FBFFCC4E"/>
    <w:rsid w:val="FD3D0640"/>
    <w:rsid w:val="FDF6C6FE"/>
    <w:rsid w:val="FDFF43DC"/>
    <w:rsid w:val="FDFFFA6B"/>
    <w:rsid w:val="FEFFBA52"/>
    <w:rsid w:val="FF0DA81D"/>
    <w:rsid w:val="FF15E037"/>
    <w:rsid w:val="FF77954C"/>
    <w:rsid w:val="FF7FADB7"/>
    <w:rsid w:val="FFAEA956"/>
    <w:rsid w:val="FFDF62BB"/>
    <w:rsid w:val="FFED5AFD"/>
    <w:rsid w:val="FFEE7145"/>
    <w:rsid w:val="FFF5739D"/>
    <w:rsid w:val="FFFA87B9"/>
    <w:rsid w:val="FFFF64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7"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Calibri"/>
      <w:sz w:val="21"/>
      <w:szCs w:val="21"/>
      <w:lang w:val="en-US" w:eastAsia="zh-CN" w:bidi="ar-SA"/>
    </w:rPr>
  </w:style>
  <w:style w:type="paragraph" w:styleId="2">
    <w:name w:val="heading 3"/>
    <w:basedOn w:val="1"/>
    <w:next w:val="1"/>
    <w:unhideWhenUsed/>
    <w:qFormat/>
    <w:uiPriority w:val="9"/>
    <w:pPr>
      <w:spacing w:line="520" w:lineRule="exact"/>
      <w:outlineLvl w:val="2"/>
    </w:pPr>
    <w:rPr>
      <w:rFonts w:ascii="宋体" w:hAnsi="宋体" w:cs="宋体"/>
      <w:color w:val="000000"/>
      <w:sz w:val="24"/>
      <w:szCs w:val="2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w:basedOn w:val="1"/>
    <w:link w:val="18"/>
    <w:qFormat/>
    <w:uiPriority w:val="0"/>
    <w:pPr>
      <w:tabs>
        <w:tab w:val="left" w:pos="360"/>
      </w:tabs>
      <w:spacing w:line="360" w:lineRule="auto"/>
      <w:jc w:val="left"/>
    </w:pPr>
    <w:rPr>
      <w:rFonts w:ascii="Times New Roman" w:hAnsi="Times New Roman" w:cs="Times New Roman"/>
    </w:rPr>
  </w:style>
  <w:style w:type="paragraph" w:styleId="6">
    <w:name w:val="Body Text Indent"/>
    <w:basedOn w:val="1"/>
    <w:link w:val="19"/>
    <w:unhideWhenUsed/>
    <w:qFormat/>
    <w:uiPriority w:val="99"/>
    <w:pPr>
      <w:spacing w:after="120"/>
      <w:ind w:left="420" w:leftChars="200"/>
    </w:pPr>
  </w:style>
  <w:style w:type="paragraph" w:styleId="7">
    <w:name w:val="Balloon Text"/>
    <w:basedOn w:val="1"/>
    <w:semiHidden/>
    <w:qFormat/>
    <w:uiPriority w:val="0"/>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000000" w:sz="6" w:space="1"/>
      </w:pBdr>
      <w:tabs>
        <w:tab w:val="center" w:pos="4153"/>
        <w:tab w:val="right" w:pos="8306"/>
      </w:tabs>
      <w:snapToGrid w:val="0"/>
      <w:jc w:val="center"/>
    </w:pPr>
    <w:rPr>
      <w:sz w:val="18"/>
      <w:szCs w:val="18"/>
    </w:rPr>
  </w:style>
  <w:style w:type="paragraph" w:styleId="10">
    <w:name w:val="Body Text Indent 3"/>
    <w:basedOn w:val="1"/>
    <w:qFormat/>
    <w:uiPriority w:val="0"/>
    <w:pPr>
      <w:spacing w:after="120"/>
      <w:ind w:left="420"/>
    </w:pPr>
    <w:rPr>
      <w:sz w:val="16"/>
      <w:szCs w:val="16"/>
    </w:rPr>
  </w:style>
  <w:style w:type="paragraph" w:styleId="11">
    <w:name w:val="annotation subject"/>
    <w:basedOn w:val="3"/>
    <w:next w:val="3"/>
    <w:link w:val="21"/>
    <w:unhideWhenUsed/>
    <w:qFormat/>
    <w:uiPriority w:val="99"/>
    <w:rPr>
      <w:b/>
      <w:bCs/>
    </w:rPr>
  </w:style>
  <w:style w:type="table" w:styleId="13">
    <w:name w:val="Table Grid"/>
    <w:basedOn w:val="12"/>
    <w:qFormat/>
    <w:uiPriority w:val="37"/>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semiHidden/>
    <w:qFormat/>
    <w:uiPriority w:val="0"/>
    <w:rPr>
      <w:color w:val="auto"/>
      <w:u w:val="none"/>
    </w:rPr>
  </w:style>
  <w:style w:type="character" w:styleId="16">
    <w:name w:val="annotation reference"/>
    <w:basedOn w:val="14"/>
    <w:unhideWhenUsed/>
    <w:qFormat/>
    <w:uiPriority w:val="99"/>
    <w:rPr>
      <w:sz w:val="21"/>
      <w:szCs w:val="21"/>
    </w:rPr>
  </w:style>
  <w:style w:type="character" w:customStyle="1" w:styleId="17">
    <w:name w:val="批注文字 Char"/>
    <w:basedOn w:val="14"/>
    <w:link w:val="3"/>
    <w:qFormat/>
    <w:uiPriority w:val="99"/>
    <w:rPr>
      <w:rFonts w:ascii="Calibri" w:hAnsi="Calibri" w:cs="Calibri"/>
      <w:sz w:val="21"/>
      <w:szCs w:val="21"/>
    </w:rPr>
  </w:style>
  <w:style w:type="character" w:customStyle="1" w:styleId="18">
    <w:name w:val="正文文本 Char1"/>
    <w:basedOn w:val="14"/>
    <w:link w:val="5"/>
    <w:qFormat/>
    <w:uiPriority w:val="0"/>
    <w:rPr>
      <w:sz w:val="21"/>
      <w:szCs w:val="21"/>
    </w:rPr>
  </w:style>
  <w:style w:type="character" w:customStyle="1" w:styleId="19">
    <w:name w:val="正文文本缩进 Char"/>
    <w:basedOn w:val="14"/>
    <w:link w:val="6"/>
    <w:semiHidden/>
    <w:qFormat/>
    <w:uiPriority w:val="99"/>
    <w:rPr>
      <w:rFonts w:ascii="Calibri" w:hAnsi="Calibri" w:cs="Calibri"/>
      <w:sz w:val="21"/>
      <w:szCs w:val="21"/>
    </w:rPr>
  </w:style>
  <w:style w:type="character" w:customStyle="1" w:styleId="20">
    <w:name w:val="页脚 Char1"/>
    <w:link w:val="8"/>
    <w:qFormat/>
    <w:uiPriority w:val="99"/>
    <w:rPr>
      <w:rFonts w:ascii="Calibri" w:hAnsi="Calibri" w:cs="Calibri"/>
      <w:sz w:val="18"/>
      <w:szCs w:val="18"/>
    </w:rPr>
  </w:style>
  <w:style w:type="character" w:customStyle="1" w:styleId="21">
    <w:name w:val="批注主题 Char"/>
    <w:basedOn w:val="17"/>
    <w:link w:val="11"/>
    <w:semiHidden/>
    <w:qFormat/>
    <w:uiPriority w:val="99"/>
    <w:rPr>
      <w:rFonts w:ascii="Calibri" w:hAnsi="Calibri" w:cs="Calibri"/>
      <w:b/>
      <w:bCs/>
      <w:sz w:val="21"/>
      <w:szCs w:val="21"/>
    </w:rPr>
  </w:style>
  <w:style w:type="character" w:customStyle="1" w:styleId="22">
    <w:name w:val="标题 3 Char"/>
    <w:basedOn w:val="14"/>
    <w:semiHidden/>
    <w:qFormat/>
    <w:uiPriority w:val="0"/>
    <w:rPr>
      <w:b/>
      <w:sz w:val="32"/>
      <w:szCs w:val="32"/>
    </w:rPr>
  </w:style>
  <w:style w:type="character" w:customStyle="1" w:styleId="23">
    <w:name w:val="正文文本 Char"/>
    <w:basedOn w:val="14"/>
    <w:semiHidden/>
    <w:qFormat/>
    <w:uiPriority w:val="0"/>
    <w:rPr>
      <w:sz w:val="21"/>
      <w:szCs w:val="21"/>
    </w:rPr>
  </w:style>
  <w:style w:type="character" w:customStyle="1" w:styleId="24">
    <w:name w:val="正文文本缩进 3 Char"/>
    <w:basedOn w:val="14"/>
    <w:semiHidden/>
    <w:qFormat/>
    <w:uiPriority w:val="0"/>
    <w:rPr>
      <w:sz w:val="16"/>
      <w:szCs w:val="16"/>
    </w:rPr>
  </w:style>
  <w:style w:type="character" w:customStyle="1" w:styleId="25">
    <w:name w:val="正文文本 3 Char"/>
    <w:basedOn w:val="14"/>
    <w:semiHidden/>
    <w:qFormat/>
    <w:uiPriority w:val="0"/>
    <w:rPr>
      <w:sz w:val="16"/>
      <w:szCs w:val="16"/>
    </w:rPr>
  </w:style>
  <w:style w:type="character" w:customStyle="1" w:styleId="26">
    <w:name w:val="批注框文本 Char"/>
    <w:basedOn w:val="14"/>
    <w:semiHidden/>
    <w:qFormat/>
    <w:uiPriority w:val="0"/>
    <w:rPr>
      <w:sz w:val="2"/>
      <w:szCs w:val="2"/>
    </w:rPr>
  </w:style>
  <w:style w:type="character" w:customStyle="1" w:styleId="27">
    <w:name w:val="页眉 Char"/>
    <w:basedOn w:val="14"/>
    <w:semiHidden/>
    <w:qFormat/>
    <w:uiPriority w:val="0"/>
    <w:rPr>
      <w:rFonts w:cs="Calibri"/>
      <w:sz w:val="18"/>
      <w:szCs w:val="18"/>
    </w:rPr>
  </w:style>
  <w:style w:type="character" w:customStyle="1" w:styleId="28">
    <w:name w:val="页脚 Char"/>
    <w:basedOn w:val="14"/>
    <w:semiHidden/>
    <w:qFormat/>
    <w:uiPriority w:val="0"/>
    <w:rPr>
      <w:rFonts w:cs="Calibri"/>
      <w:sz w:val="18"/>
      <w:szCs w:val="18"/>
    </w:rPr>
  </w:style>
  <w:style w:type="paragraph" w:customStyle="1" w:styleId="29">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1158</Words>
  <Characters>6602</Characters>
  <Lines>55</Lines>
  <Paragraphs>15</Paragraphs>
  <TotalTime>232</TotalTime>
  <ScaleCrop>false</ScaleCrop>
  <LinksUpToDate>false</LinksUpToDate>
  <CharactersWithSpaces>7745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2021-09-08T23:09:00Z</dcterms:created>
  <dc:creator>lihongquan</dc:creator>
  <cp:lastModifiedBy>scjgj</cp:lastModifiedBy>
  <cp:lastPrinted>2022-09-30T00:41:00Z</cp:lastPrinted>
  <dcterms:modified xsi:type="dcterms:W3CDTF">2022-10-14T10:39:15Z</dcterms:modified>
  <dc:title>合同编号：</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B57B3C7C691040799695FC406C017832</vt:lpwstr>
  </property>
</Properties>
</file>